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945B2" w14:textId="77777777" w:rsidR="006974FC" w:rsidRPr="006974FC" w:rsidRDefault="00B15AED" w:rsidP="00B15AED">
      <w:pPr>
        <w:jc w:val="center"/>
        <w:rPr>
          <w:b/>
          <w:bCs/>
        </w:rPr>
      </w:pPr>
      <w:r w:rsidRPr="00B15AED">
        <w:rPr>
          <w:b/>
          <w:bCs/>
        </w:rPr>
        <w:t>Tema IX</w:t>
      </w:r>
    </w:p>
    <w:p w14:paraId="7F8395F1" w14:textId="4447AACD" w:rsidR="009D00D9" w:rsidRDefault="00B15AED" w:rsidP="00B15AED">
      <w:pPr>
        <w:jc w:val="center"/>
        <w:rPr>
          <w:b/>
          <w:bCs/>
        </w:rPr>
      </w:pPr>
      <w:r w:rsidRPr="00B15AED">
        <w:rPr>
          <w:b/>
          <w:bCs/>
        </w:rPr>
        <w:t xml:space="preserve">TRATADOS INTERNACIONAIS E TRIBUTOS </w:t>
      </w:r>
      <w:r w:rsidR="006974FC">
        <w:rPr>
          <w:b/>
          <w:bCs/>
        </w:rPr>
        <w:br/>
      </w:r>
      <w:r w:rsidRPr="00B15AED">
        <w:rPr>
          <w:b/>
          <w:bCs/>
        </w:rPr>
        <w:t>INCIDENTES SOBRE O</w:t>
      </w:r>
      <w:r>
        <w:rPr>
          <w:b/>
          <w:bCs/>
        </w:rPr>
        <w:t xml:space="preserve"> </w:t>
      </w:r>
      <w:r w:rsidRPr="00B15AED">
        <w:rPr>
          <w:b/>
          <w:bCs/>
        </w:rPr>
        <w:t>COMÉRCIO EXTERIOR</w:t>
      </w:r>
    </w:p>
    <w:p w14:paraId="2D001648" w14:textId="77777777" w:rsidR="00B15AED" w:rsidRDefault="00B15AED" w:rsidP="00B15AED">
      <w:pPr>
        <w:rPr>
          <w:b/>
          <w:bCs/>
        </w:rPr>
      </w:pPr>
    </w:p>
    <w:p w14:paraId="7194621C" w14:textId="342A719F" w:rsidR="00B15AED" w:rsidRDefault="006974FC" w:rsidP="00B15AED">
      <w:pPr>
        <w:jc w:val="center"/>
        <w:rPr>
          <w:b/>
          <w:bCs/>
        </w:rPr>
      </w:pPr>
      <w:r w:rsidRPr="00B15AED">
        <w:rPr>
          <w:b/>
          <w:bCs/>
        </w:rPr>
        <w:t>SEMINÁRIO IX</w:t>
      </w:r>
    </w:p>
    <w:p w14:paraId="7D0CCB8C" w14:textId="77777777" w:rsidR="00B15AED" w:rsidRPr="00B15AED" w:rsidRDefault="00B15AED" w:rsidP="00B15AED">
      <w:pPr>
        <w:rPr>
          <w:b/>
          <w:bCs/>
        </w:rPr>
      </w:pPr>
    </w:p>
    <w:p w14:paraId="48442836" w14:textId="0C739FB7" w:rsidR="00B15AED" w:rsidRDefault="00B15AED" w:rsidP="006974FC">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t>1. Descrever o mecanismo de inserção de norma jurídica internacional, veiculada por</w:t>
      </w:r>
      <w:r>
        <w:t xml:space="preserve"> </w:t>
      </w:r>
      <w:r w:rsidRPr="00B15AED">
        <w:t>tratado, no ordenamento jurídico brasileiro. Diferençar as teorias monista e dualista,</w:t>
      </w:r>
      <w:r>
        <w:t xml:space="preserve"> </w:t>
      </w:r>
      <w:r w:rsidRPr="00B15AED">
        <w:t>posicionando-se sobre o tema. Qual o modelo adotado pelo Brasil?</w:t>
      </w:r>
    </w:p>
    <w:p w14:paraId="19A79190" w14:textId="77777777" w:rsidR="00B15AED" w:rsidRDefault="00B15AED" w:rsidP="00B15AED"/>
    <w:p w14:paraId="4B3FDFAB" w14:textId="062F0B0A" w:rsidR="006974FC" w:rsidRDefault="006974FC" w:rsidP="00B15AED">
      <w:r>
        <w:t>RESPOSTA:</w:t>
      </w:r>
    </w:p>
    <w:p w14:paraId="556A12E3" w14:textId="77777777" w:rsidR="006974FC" w:rsidRDefault="006974FC" w:rsidP="00A55901">
      <w:pPr>
        <w:jc w:val="both"/>
      </w:pPr>
    </w:p>
    <w:p w14:paraId="6D68AC37" w14:textId="4C086F1D" w:rsidR="00B15AED" w:rsidRDefault="00B15AED" w:rsidP="00A55901">
      <w:pPr>
        <w:jc w:val="both"/>
        <w:rPr>
          <w:b/>
          <w:bCs/>
        </w:rPr>
      </w:pPr>
      <w:r w:rsidRPr="00B15AED">
        <w:rPr>
          <w:b/>
          <w:bCs/>
        </w:rPr>
        <w:t>DESCRIÇÃO DO INGRESSO DO TRATADO NO ORDENAMENTO JURÍDICO</w:t>
      </w:r>
      <w:r w:rsidR="00A55901">
        <w:rPr>
          <w:b/>
          <w:bCs/>
        </w:rPr>
        <w:t>:</w:t>
      </w:r>
    </w:p>
    <w:p w14:paraId="3BAEC1AB" w14:textId="77777777" w:rsidR="00A55901" w:rsidRPr="00B15AED" w:rsidRDefault="00A55901" w:rsidP="00A55901">
      <w:pPr>
        <w:jc w:val="both"/>
      </w:pPr>
    </w:p>
    <w:p w14:paraId="63A3AC8B" w14:textId="77777777" w:rsidR="00B15AED" w:rsidRPr="00B15AED" w:rsidRDefault="00B15AED" w:rsidP="00A55901">
      <w:pPr>
        <w:jc w:val="both"/>
      </w:pPr>
      <w:r w:rsidRPr="00B15AED">
        <w:t>Antes do ingresso no ordenamento jurídico, ocorrem uma série de negociações entre os possíveis signatários, de forma a definir especificamente os motivos que levaram à confecção de tal instrumento. Sempre deve haver um representante do Estado junto à negociação, que via de regra, será o presidente da república ou um representante do mesmo.</w:t>
      </w:r>
    </w:p>
    <w:p w14:paraId="191F465C" w14:textId="77777777" w:rsidR="00B15AED" w:rsidRDefault="00B15AED" w:rsidP="00A55901">
      <w:pPr>
        <w:jc w:val="both"/>
      </w:pPr>
      <w:r w:rsidRPr="00B15AED">
        <w:t>Após e se assinado, o tratado deve ser homologado pelo congresso nacional e ratificado pelo presidente da república via decreto. Após isso, o decreto será promulgado e publicado.</w:t>
      </w:r>
    </w:p>
    <w:p w14:paraId="4F1CAC25" w14:textId="77777777" w:rsidR="00B15AED" w:rsidRPr="00B15AED" w:rsidRDefault="00B15AED" w:rsidP="00A55901">
      <w:pPr>
        <w:jc w:val="both"/>
      </w:pPr>
    </w:p>
    <w:p w14:paraId="736D250F" w14:textId="77777777" w:rsidR="00B15AED" w:rsidRDefault="00B15AED" w:rsidP="00A55901">
      <w:pPr>
        <w:jc w:val="both"/>
        <w:rPr>
          <w:b/>
          <w:bCs/>
        </w:rPr>
      </w:pPr>
      <w:r w:rsidRPr="00B15AED">
        <w:rPr>
          <w:b/>
          <w:bCs/>
        </w:rPr>
        <w:t>Momento de vigência no direito interno</w:t>
      </w:r>
      <w:r>
        <w:rPr>
          <w:b/>
          <w:bCs/>
        </w:rPr>
        <w:t xml:space="preserve">: </w:t>
      </w:r>
    </w:p>
    <w:p w14:paraId="55DFFD3E" w14:textId="3D33B290" w:rsidR="00B15AED" w:rsidRDefault="00B15AED" w:rsidP="00A55901">
      <w:pPr>
        <w:jc w:val="both"/>
      </w:pPr>
      <w:r w:rsidRPr="00B15AED">
        <w:t xml:space="preserve">A doutrina e jurisprudência são pacíficas no sentido de afirmar que a vigência do tratado se dará após o </w:t>
      </w:r>
      <w:proofErr w:type="spellStart"/>
      <w:r w:rsidRPr="00B15AED">
        <w:t>vacatio</w:t>
      </w:r>
      <w:proofErr w:type="spellEnd"/>
      <w:r w:rsidRPr="00B15AED">
        <w:t xml:space="preserve"> legis da publicação, ou seja, deve-se aguardar o prazo estabelecido para a lei que for incorporada no ordenamento nacional. Seu prazo para entrar em vigor dependerá da matéria que trata e da formalidade que a mesma terá.</w:t>
      </w:r>
    </w:p>
    <w:p w14:paraId="4C485357" w14:textId="77777777" w:rsidR="00B15AED" w:rsidRDefault="00B15AED" w:rsidP="00A55901">
      <w:pPr>
        <w:jc w:val="both"/>
      </w:pPr>
    </w:p>
    <w:p w14:paraId="30AACCDF" w14:textId="2711CB97" w:rsidR="00B15AED" w:rsidRDefault="00B15AED" w:rsidP="00A55901">
      <w:pPr>
        <w:jc w:val="both"/>
        <w:rPr>
          <w:b/>
          <w:bCs/>
        </w:rPr>
      </w:pPr>
      <w:r w:rsidRPr="00B15AED">
        <w:rPr>
          <w:b/>
          <w:bCs/>
        </w:rPr>
        <w:t>Posição hierárquica no ordenamento jurídico</w:t>
      </w:r>
      <w:r>
        <w:rPr>
          <w:b/>
          <w:bCs/>
        </w:rPr>
        <w:t>:</w:t>
      </w:r>
    </w:p>
    <w:p w14:paraId="23825012" w14:textId="77777777" w:rsidR="00B15AED" w:rsidRPr="00B15AED" w:rsidRDefault="00B15AED" w:rsidP="00A55901">
      <w:pPr>
        <w:jc w:val="both"/>
      </w:pPr>
      <w:r w:rsidRPr="00B15AED">
        <w:t>Tudo dependerá da matéria que o tratado internacional estiver tratando. Se o tratado versar sobre cláusulas pétreas, ampliando os direitos concedidos pela carta magna, o mesmo será recepcionado como Emenda Constitucional.</w:t>
      </w:r>
    </w:p>
    <w:p w14:paraId="594679D6" w14:textId="77777777" w:rsidR="00B15AED" w:rsidRPr="00B15AED" w:rsidRDefault="00B15AED" w:rsidP="00A55901">
      <w:pPr>
        <w:jc w:val="both"/>
      </w:pPr>
      <w:r w:rsidRPr="00B15AED">
        <w:t>Quanto à matérias que sejam tratadas em vias diversas, deverá ser observado qual a lei correspondente que abarca determinado assunto. Se o tratado internacional versar internamente de matéria de lei complementar, deverá ser recepcionado ou não via decreto-tratado. O mesmo se aplica em caso de lei ordinária.</w:t>
      </w:r>
    </w:p>
    <w:p w14:paraId="7FBCE287" w14:textId="77777777" w:rsidR="00B15AED" w:rsidRPr="00B15AED" w:rsidRDefault="00B15AED" w:rsidP="00A55901">
      <w:pPr>
        <w:jc w:val="both"/>
      </w:pPr>
      <w:r w:rsidRPr="00B15AED">
        <w:lastRenderedPageBreak/>
        <w:t xml:space="preserve">Tanto a CF quanto o CTN afirmam que, caso recepcionada a norma, as mesmas são especiais ante a legislação interna. Para Pugliese, </w:t>
      </w:r>
      <w:r w:rsidRPr="00B15AED">
        <w:rPr>
          <w:i/>
          <w:iCs/>
        </w:rPr>
        <w:t>“mesmo que não se compreenda que os decretos-tratados prevaleçam em virtude do critério de competência, ainda assim a primazia lhes é garantida pelo critério da especialidade”</w:t>
      </w:r>
      <w:r w:rsidRPr="00B15AED">
        <w:t>.</w:t>
      </w:r>
    </w:p>
    <w:p w14:paraId="0C4B4271" w14:textId="77777777" w:rsidR="00B15AED" w:rsidRPr="00B15AED" w:rsidRDefault="00B15AED" w:rsidP="00A55901">
      <w:pPr>
        <w:jc w:val="both"/>
      </w:pPr>
      <w:r w:rsidRPr="00B15AED">
        <w:t>Ouso discordar do autor nesse sentido. Tenho para mim que a melhor forma de recepção da norma seria adequá-la à formalidade do ordenamento nacional. Se o tratado se referir, por exemplo, a matéria de direito tributário em que a CF prevê especificamente que deverá ser tratada via LC, o tratado deverá ser recepcionado como tal, e passar pelos mesmos critérios de aprovação de tais normas.</w:t>
      </w:r>
    </w:p>
    <w:p w14:paraId="115AC2DF" w14:textId="77777777" w:rsidR="00B15AED" w:rsidRDefault="00B15AED" w:rsidP="00A55901">
      <w:pPr>
        <w:jc w:val="both"/>
      </w:pPr>
    </w:p>
    <w:p w14:paraId="3EAADE3D" w14:textId="6B4E15B6" w:rsidR="006974FC" w:rsidRPr="006974FC" w:rsidRDefault="006974FC" w:rsidP="00A55901">
      <w:pPr>
        <w:jc w:val="both"/>
        <w:rPr>
          <w:b/>
          <w:bCs/>
        </w:rPr>
      </w:pPr>
      <w:r w:rsidRPr="006974FC">
        <w:rPr>
          <w:b/>
          <w:bCs/>
        </w:rPr>
        <w:t>TEORIAS MONISTA E DUALISTA:</w:t>
      </w:r>
    </w:p>
    <w:p w14:paraId="00B22BC9" w14:textId="77777777" w:rsidR="006974FC" w:rsidRDefault="006974FC" w:rsidP="00A55901">
      <w:pPr>
        <w:jc w:val="both"/>
      </w:pPr>
    </w:p>
    <w:p w14:paraId="001AFFB3" w14:textId="544BB89B" w:rsidR="006974FC" w:rsidRDefault="006974FC" w:rsidP="00A55901">
      <w:pPr>
        <w:jc w:val="both"/>
      </w:pPr>
      <w:r w:rsidRPr="002668D6">
        <w:t xml:space="preserve">A teoria monista sustenta que o direito internacional e o direito interno fazem parte de um </w:t>
      </w:r>
      <w:r w:rsidRPr="00C275F4">
        <w:rPr>
          <w:b/>
          <w:bCs/>
          <w:u w:val="single"/>
        </w:rPr>
        <w:t>único sistema jurídico</w:t>
      </w:r>
      <w:r w:rsidRPr="002668D6">
        <w:t>. Assim, uma vez que um tratado internacional seja ratificado pelo país, ele passa a ter validade imediata no direito interno, sem necessidade de uma lei adicional para que tenha efeito interno</w:t>
      </w:r>
      <w:r>
        <w:t>.</w:t>
      </w:r>
    </w:p>
    <w:p w14:paraId="3242EA87" w14:textId="77777777" w:rsidR="006974FC" w:rsidRDefault="006974FC" w:rsidP="00A55901">
      <w:pPr>
        <w:jc w:val="both"/>
      </w:pPr>
    </w:p>
    <w:p w14:paraId="50154931" w14:textId="1CE90224" w:rsidR="006974FC" w:rsidRDefault="006974FC" w:rsidP="00A55901">
      <w:pPr>
        <w:jc w:val="both"/>
      </w:pPr>
      <w:r w:rsidRPr="00C275F4">
        <w:t xml:space="preserve">A teoria dualista considera que o direito internacional e o direito interno são sistemas jurídicos separados e independentes. </w:t>
      </w:r>
      <w:r w:rsidRPr="00C275F4">
        <w:rPr>
          <w:b/>
          <w:bCs/>
          <w:u w:val="single"/>
        </w:rPr>
        <w:t>Para que um tratado internacional tenha efeito no direito interno, ele precisa ser "incorporado" por meio de um ato legislativo específico</w:t>
      </w:r>
      <w:r w:rsidRPr="00C275F4">
        <w:t>. Nesse sentido, o direito internacional só passa a ser aplicável no âmbito interno se o governo aprovar uma lei que internalize o tratado</w:t>
      </w:r>
      <w:r>
        <w:t>.</w:t>
      </w:r>
    </w:p>
    <w:p w14:paraId="5910137B" w14:textId="77777777" w:rsidR="006974FC" w:rsidRDefault="006974FC" w:rsidP="00A55901">
      <w:pPr>
        <w:jc w:val="both"/>
      </w:pPr>
    </w:p>
    <w:p w14:paraId="1227811D" w14:textId="3C0A7F7D" w:rsidR="006974FC" w:rsidRDefault="006974FC" w:rsidP="00A55901">
      <w:pPr>
        <w:jc w:val="both"/>
      </w:pPr>
      <w:r w:rsidRPr="006974FC">
        <w:t xml:space="preserve">Na teoria monista, o </w:t>
      </w:r>
      <w:r w:rsidRPr="006974FC">
        <w:rPr>
          <w:u w:val="single"/>
        </w:rPr>
        <w:t>efeito dos tratados</w:t>
      </w:r>
      <w:r w:rsidRPr="006974FC">
        <w:t xml:space="preserve"> é a </w:t>
      </w:r>
      <w:r w:rsidRPr="006974FC">
        <w:rPr>
          <w:u w:val="single"/>
        </w:rPr>
        <w:t>a</w:t>
      </w:r>
      <w:r w:rsidRPr="00C275F4">
        <w:rPr>
          <w:u w:val="single"/>
        </w:rPr>
        <w:t>plicação automática após ratificação</w:t>
      </w:r>
      <w:r w:rsidRPr="006974FC">
        <w:t xml:space="preserve">. Mas na teoria dualista, o efeito é a </w:t>
      </w:r>
      <w:r w:rsidRPr="006974FC">
        <w:rPr>
          <w:u w:val="single"/>
        </w:rPr>
        <w:t>n</w:t>
      </w:r>
      <w:r w:rsidRPr="00C275F4">
        <w:rPr>
          <w:u w:val="single"/>
        </w:rPr>
        <w:t>ecessidade de incorporação legislativa</w:t>
      </w:r>
      <w:r w:rsidRPr="006974FC">
        <w:t>.</w:t>
      </w:r>
    </w:p>
    <w:p w14:paraId="482A5DE4" w14:textId="77777777" w:rsidR="006974FC" w:rsidRDefault="006974FC" w:rsidP="00A55901">
      <w:pPr>
        <w:jc w:val="both"/>
      </w:pPr>
    </w:p>
    <w:p w14:paraId="035CC51A" w14:textId="39B0352F" w:rsidR="006974FC" w:rsidRDefault="006974FC" w:rsidP="00A55901">
      <w:pPr>
        <w:jc w:val="both"/>
      </w:pPr>
      <w:r>
        <w:t xml:space="preserve">A teoria monista </w:t>
      </w:r>
      <w:r w:rsidRPr="006974FC">
        <w:rPr>
          <w:u w:val="single"/>
        </w:rPr>
        <w:t xml:space="preserve">unifica </w:t>
      </w:r>
      <w:r w:rsidRPr="00C275F4">
        <w:rPr>
          <w:u w:val="single"/>
        </w:rPr>
        <w:t>o direito internacional e o direito interno</w:t>
      </w:r>
      <w:r>
        <w:t xml:space="preserve">, enquanto a dualista </w:t>
      </w:r>
      <w:r w:rsidRPr="006974FC">
        <w:rPr>
          <w:u w:val="single"/>
        </w:rPr>
        <w:t xml:space="preserve">separa </w:t>
      </w:r>
      <w:r w:rsidRPr="00C275F4">
        <w:rPr>
          <w:u w:val="single"/>
        </w:rPr>
        <w:t>o direito internacional do direito interno</w:t>
      </w:r>
      <w:r>
        <w:t>.</w:t>
      </w:r>
    </w:p>
    <w:p w14:paraId="41AC1EAB" w14:textId="77777777" w:rsidR="006974FC" w:rsidRDefault="006974FC" w:rsidP="00A55901">
      <w:pPr>
        <w:jc w:val="both"/>
      </w:pPr>
    </w:p>
    <w:p w14:paraId="2F77340E" w14:textId="288EF2F3" w:rsidR="006974FC" w:rsidRDefault="006974FC" w:rsidP="00A55901">
      <w:pPr>
        <w:jc w:val="both"/>
      </w:pPr>
      <w:r>
        <w:t xml:space="preserve">A teoria monista entende que a </w:t>
      </w:r>
      <w:r w:rsidRPr="006974FC">
        <w:rPr>
          <w:u w:val="single"/>
        </w:rPr>
        <w:t>hierarquia</w:t>
      </w:r>
      <w:r w:rsidRPr="00C275F4">
        <w:t xml:space="preserve"> </w:t>
      </w:r>
      <w:r>
        <w:t xml:space="preserve">do tratado é de norma </w:t>
      </w:r>
      <w:r w:rsidRPr="00C275F4">
        <w:t xml:space="preserve">supralegal </w:t>
      </w:r>
      <w:r w:rsidRPr="00C275F4">
        <w:t>ou constitucional, dependendo do tratado</w:t>
      </w:r>
      <w:r>
        <w:t xml:space="preserve">. Na teoria dualista, a hierarquia do tratado é </w:t>
      </w:r>
      <w:r w:rsidRPr="00C275F4">
        <w:t xml:space="preserve">determinada </w:t>
      </w:r>
      <w:r w:rsidRPr="00C275F4">
        <w:t>pelo ato de incorporação</w:t>
      </w:r>
      <w:r>
        <w:t>.</w:t>
      </w:r>
    </w:p>
    <w:p w14:paraId="3C68BD24" w14:textId="77777777" w:rsidR="006974FC" w:rsidRDefault="006974FC" w:rsidP="00A55901">
      <w:pPr>
        <w:jc w:val="both"/>
      </w:pPr>
    </w:p>
    <w:p w14:paraId="699661E1" w14:textId="0648B938" w:rsidR="006974FC" w:rsidRDefault="00A55901" w:rsidP="00A55901">
      <w:pPr>
        <w:jc w:val="both"/>
      </w:pPr>
      <w:r>
        <w:t>Conforme menciona</w:t>
      </w:r>
      <w:r w:rsidR="006974FC">
        <w:t xml:space="preserve"> </w:t>
      </w:r>
      <w:r w:rsidR="006974FC" w:rsidRPr="006974FC">
        <w:t>Luís Flávio Neto</w:t>
      </w:r>
      <w:r>
        <w:rPr>
          <w:rStyle w:val="Refdenotaderodap"/>
        </w:rPr>
        <w:footnoteReference w:id="1"/>
      </w:r>
      <w:r>
        <w:t>:</w:t>
      </w:r>
    </w:p>
    <w:p w14:paraId="2A5B957A" w14:textId="77777777" w:rsidR="00A55901" w:rsidRDefault="00A55901" w:rsidP="006974FC"/>
    <w:p w14:paraId="1A29FDAE" w14:textId="0CACAB39" w:rsidR="00A55901" w:rsidRDefault="00A55901" w:rsidP="00A55901">
      <w:pPr>
        <w:ind w:left="2268"/>
        <w:jc w:val="both"/>
      </w:pPr>
      <w:r w:rsidRPr="00A55901">
        <w:lastRenderedPageBreak/>
        <w:t>Bianco</w:t>
      </w:r>
      <w:r>
        <w:rPr>
          <w:rStyle w:val="Refdenotaderodap"/>
        </w:rPr>
        <w:footnoteReference w:id="2"/>
      </w:r>
      <w:r w:rsidRPr="00A55901">
        <w:t xml:space="preserve"> leciona os contornos destas acepções moderadas das correntes dualista e monista. No dualismo moderado, embora ainda se reconheça a existência de dois sistemas jurídicos independentes, passou-se a admitir a possibilidade de conflitos entre as normas de direito internacional e aquelas de direito interno, o que poderia ser resolvido de acordo com regras específicas de harmonização existentes em ambos os sistemas, podendo as normas de direito internacional sobrepor-se às normas de direito interno. O monismo moderado, por sua vez, embora somente admita um único sistema jurídico, reconhece a possibilidade de convivência de normas internas com as normas internacionais, ainda que conflitantes, solucionando</w:t>
      </w:r>
      <w:r>
        <w:t>-</w:t>
      </w:r>
      <w:r w:rsidRPr="00A55901">
        <w:t>se os conflitos com os procedimentos previstos no direito internacional público.</w:t>
      </w:r>
    </w:p>
    <w:p w14:paraId="0C7B3C90" w14:textId="5D5ED24A" w:rsidR="00A55901" w:rsidRDefault="00A55901" w:rsidP="00A55901">
      <w:pPr>
        <w:ind w:left="2268"/>
        <w:jc w:val="both"/>
      </w:pPr>
      <w:r w:rsidRPr="00A55901">
        <w:t>Em seguida, esta Corte enfrentou a antiga controvérsia doutrinária quanto às teorias monista e dualista, que tratam da relação que se estabelece entre o direito interno e o direito internacional, optando pela visão dualista moderada: Sob tal perspectiva, o sistema constitucional brasileiro - que não exige a edição de lei para efeito de incorporação do ato internacional ao direito interno (visão dualista extremada) - satisfaz-se, para efeito de executoriedade doméstica dos tratados internacionais, com a adoção de iter procedimental que compreende a aprovação congressional e a promulgação executiva do texto constitucional (visão dualista moderada). A teoria monista restou, assim, afastada pelo Supremo Tribunal Federal, sob o fundamento de que a “aprovação congressual e a promulgação executiva atuam, nessa condição, como pressupostos indispensáveis da própria aplicabilidade, no plano normativo interno, da convenção internacional celebrada pelo Brasil”. Nessa linha, o Pleno apontou que o tratado internacional somente terá vigência na ordem interna após dar-se publicidade no Diário Oficial dos atos de enunciação do decreto legislativo, produzido pelo Congresso Nacional, e do decreto presidencial, no qual o Presidente da República o promulga</w:t>
      </w:r>
      <w:r>
        <w:t>.</w:t>
      </w:r>
      <w:r>
        <w:rPr>
          <w:rStyle w:val="Refdenotaderodap"/>
        </w:rPr>
        <w:footnoteReference w:id="3"/>
      </w:r>
    </w:p>
    <w:p w14:paraId="64F53907" w14:textId="77777777" w:rsidR="00A55901" w:rsidRDefault="00A55901" w:rsidP="00A55901">
      <w:pPr>
        <w:ind w:left="2268"/>
        <w:jc w:val="both"/>
      </w:pPr>
    </w:p>
    <w:p w14:paraId="566F0A53" w14:textId="2EBE767A" w:rsidR="00A55901" w:rsidRDefault="00A55901" w:rsidP="00A55901">
      <w:pPr>
        <w:jc w:val="both"/>
      </w:pPr>
      <w:r w:rsidRPr="00A55901">
        <w:t>Paulo de Barros Carvalho</w:t>
      </w:r>
      <w:r>
        <w:rPr>
          <w:rStyle w:val="Refdenotaderodap"/>
        </w:rPr>
        <w:footnoteReference w:id="4"/>
      </w:r>
      <w:r w:rsidRPr="00A55901">
        <w:t xml:space="preserve">, </w:t>
      </w:r>
      <w:r>
        <w:t xml:space="preserve">adota a teoria monista, ao entender que </w:t>
      </w:r>
      <w:r w:rsidRPr="00A55901">
        <w:t>o decreto-legislativo “adquire grande relevância no direito brasileiro como veículo que introduz o conteúdo dos tratados e das convenções internacionais no sistema normativo”.</w:t>
      </w:r>
    </w:p>
    <w:p w14:paraId="32419A66" w14:textId="77777777" w:rsidR="00B15AED" w:rsidRDefault="00B15AED" w:rsidP="00B15AED"/>
    <w:p w14:paraId="6C4E1F5C" w14:textId="77777777" w:rsidR="00B15AED" w:rsidRPr="00B15AED" w:rsidRDefault="00B15AED" w:rsidP="00B15AED"/>
    <w:p w14:paraId="147496FB" w14:textId="7A6C2C3A" w:rsidR="00B15AED" w:rsidRPr="00B15AED" w:rsidRDefault="00B15AED" w:rsidP="00B15AED">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t>2. Quais as consequências jurídicas de um país constar da lista de países com tributação</w:t>
      </w:r>
      <w:r>
        <w:t xml:space="preserve"> </w:t>
      </w:r>
      <w:r w:rsidRPr="00B15AED">
        <w:t>favorecida? A lista de países com tributação favorecida e regimes fiscais privilegiados</w:t>
      </w:r>
      <w:r>
        <w:t xml:space="preserve"> </w:t>
      </w:r>
      <w:r w:rsidRPr="00B15AED">
        <w:t>da Instrução Normativa RFB 1.037/2010 é taxativa ou enumerativa? Responda levando</w:t>
      </w:r>
      <w:r>
        <w:t xml:space="preserve"> </w:t>
      </w:r>
      <w:r w:rsidRPr="00B15AED">
        <w:t>em consideração os dispositivos da Lei 9.430/1996 e alterações posteriores. Caso um</w:t>
      </w:r>
      <w:r>
        <w:t xml:space="preserve"> </w:t>
      </w:r>
      <w:r w:rsidRPr="00B15AED">
        <w:t>país seja retirado da lista da referida Instrução Normativa, esta retirada é retroativa ou</w:t>
      </w:r>
      <w:r>
        <w:t xml:space="preserve"> </w:t>
      </w:r>
      <w:r w:rsidRPr="00B15AED">
        <w:t>se aplica apenas a partir da vigência da Instrução Normativa que modificar a lista?</w:t>
      </w:r>
    </w:p>
    <w:p w14:paraId="782DB93F" w14:textId="77777777" w:rsidR="00B15AED" w:rsidRDefault="00B15AED" w:rsidP="00B15AED"/>
    <w:p w14:paraId="74EA2B26" w14:textId="631C99E0" w:rsidR="00762171" w:rsidRDefault="00762171" w:rsidP="00B15AED">
      <w:r>
        <w:t xml:space="preserve">Conforme </w:t>
      </w:r>
      <w:r w:rsidRPr="00762171">
        <w:t xml:space="preserve">Guilherme </w:t>
      </w:r>
      <w:proofErr w:type="spellStart"/>
      <w:r w:rsidRPr="00762171">
        <w:t>Cezaroti</w:t>
      </w:r>
      <w:proofErr w:type="spellEnd"/>
      <w:r>
        <w:rPr>
          <w:rStyle w:val="Refdenotaderodap"/>
        </w:rPr>
        <w:footnoteReference w:id="5"/>
      </w:r>
      <w:r>
        <w:t>, a</w:t>
      </w:r>
      <w:r w:rsidRPr="00762171">
        <w:t xml:space="preserve"> Instrução Normativa SRF nº 33, de 30 de março de 2001, relaciona os países e territórios com tributação favorecida, quais sejam, Andorra, Anguilla, Antigua e Barbuda, Antilhas Holandesas, Bahamas, Bahrein, Barbados, Belize, Bermudas, Chipre, Costa Rica, Djibouti, Dominica, Gibraltar, Granada, Ilhas Cayman, Ilhas</w:t>
      </w:r>
      <w:r>
        <w:t xml:space="preserve"> </w:t>
      </w:r>
      <w:r w:rsidRPr="00762171">
        <w:t xml:space="preserve">Cook, Ilha da Madeira, Ilha de Man, Ilhas do Canal (Jersey, Guernsey e </w:t>
      </w:r>
      <w:proofErr w:type="spellStart"/>
      <w:r w:rsidRPr="00762171">
        <w:t>Alderney</w:t>
      </w:r>
      <w:proofErr w:type="spellEnd"/>
      <w:r w:rsidRPr="00762171">
        <w:t xml:space="preserve">), Ilhas Marshall, Ilhas Mauricio, Ilhas Montserrat, Ilhas Samoa, Ilhas Turks e Caicos, Ilhas Virgens Americanas, Ilhas Virgens Britânicas, </w:t>
      </w:r>
      <w:proofErr w:type="spellStart"/>
      <w:r w:rsidRPr="00762171">
        <w:t>Lebuan</w:t>
      </w:r>
      <w:proofErr w:type="spellEnd"/>
      <w:r w:rsidRPr="00762171">
        <w:t>, Libéria, Liechtenstein, Malta, Mônaco, Nauru, Niue, Panamá, Saint Kitts e Nevis, Saint Vicent, San Marino, Santa Lúcia, Seychelles, Tonga e Vanuatu.</w:t>
      </w:r>
    </w:p>
    <w:p w14:paraId="4170809C" w14:textId="4052FEFA" w:rsidR="00762171" w:rsidRDefault="00762171" w:rsidP="00B15AED">
      <w:r>
        <w:t>Explica o autor que:</w:t>
      </w:r>
    </w:p>
    <w:p w14:paraId="3DD7193D" w14:textId="586CE3CC" w:rsidR="00762171" w:rsidRDefault="00762171" w:rsidP="00762171">
      <w:pPr>
        <w:ind w:left="2268"/>
      </w:pPr>
      <w:r w:rsidRPr="00762171">
        <w:t>Aqueles que investem nos países com tributação favorecida buscam, de modo geral, uma redução na carga tributária incidente sobre seus rendimentos passivos. Estes países, além de uma reduzida pressão fiscal, costumam oferecer também regimes societário e bancário favorecidos, de modo a manter em sigilo o nome</w:t>
      </w:r>
      <w:r>
        <w:t xml:space="preserve"> </w:t>
      </w:r>
      <w:r w:rsidRPr="00762171">
        <w:t xml:space="preserve">do titular dos rendimentos que são transportados para os países com tributação favorecida. Aqueles que buscam os países com regime penal favorecido nem sempre buscam um regime tributário favorecido, uma vez que o que se pretende é esconder a origem do dinheiro investido e não reduzir a sua tributação. Característica comum dos países com regime tributário, societário, bancário e penal favorecido é a estabilidade política do país. Aqueles que investem seu dinheiro nestes países </w:t>
      </w:r>
      <w:r w:rsidRPr="00762171">
        <w:lastRenderedPageBreak/>
        <w:t xml:space="preserve">buscam locais onde não existe instabilidade política, que é acompanhada de uma possibilidade de ruptura do ordenamento jurídico existente. O Panamá instituiu, em 1950, uma legislação com o objetivo de tornar-se um país com regimes tributário, societário e bancário favorecidos, tornando-se um </w:t>
      </w:r>
      <w:proofErr w:type="spellStart"/>
      <w:r w:rsidRPr="00762171">
        <w:t>pólo</w:t>
      </w:r>
      <w:proofErr w:type="spellEnd"/>
      <w:r w:rsidRPr="00762171">
        <w:t xml:space="preserve"> de investimentos financeiros internacionais, em razão de sua proximidade com os Estados Unidos da América, da utilização corrente do dólar americano como moeda e da existência de um sistema bancário bem organizado. Em dezembro de 1989 ocorreu a invasão do Panamá pelos Estados Unidos, com o argumento de combater o tráfico de drogas. Ainda que não tenha havido qualquer alteração no sistema societário e bancário até então existentes, houve uma fuga de investidores, ante o receio de uma instabilidade política, sendo que o país não mais recuperou sua imagem junto aos investidores5 . O fato de um país não tributar ou tributar nominalmente um rendimento é necessário mas não é condição suficiente para qualificá-lo como paraíso fiscal. Esta qualificação, conforme se demonstrará mais adiante, depende do encontro de determinados fatos e circunstâncias, que inclui a não-tributação de empresas off-</w:t>
      </w:r>
      <w:proofErr w:type="spellStart"/>
      <w:r w:rsidRPr="00762171">
        <w:t>shore</w:t>
      </w:r>
      <w:proofErr w:type="spellEnd"/>
      <w:r w:rsidRPr="00762171">
        <w:t xml:space="preserve"> e de outras atividades em relação ao total produzido pela economia local, bem como a ausência de acordos prevendo a troca de informações sobre contribuintes de outros países.</w:t>
      </w:r>
    </w:p>
    <w:p w14:paraId="788B5ABB" w14:textId="77777777" w:rsidR="00762171" w:rsidRDefault="00762171" w:rsidP="00B15AED"/>
    <w:p w14:paraId="0F62D07E" w14:textId="6D61B12C" w:rsidR="00762171" w:rsidRPr="00762171" w:rsidRDefault="00762171" w:rsidP="00762171">
      <w:r>
        <w:t>Logo, o</w:t>
      </w:r>
      <w:r w:rsidRPr="00762171">
        <w:t xml:space="preserve">s países com tributação favorecida atraem investidores principalmente porque oferecem </w:t>
      </w:r>
      <w:r w:rsidRPr="00762171">
        <w:rPr>
          <w:b/>
          <w:bCs/>
        </w:rPr>
        <w:t>vantagens fiscais</w:t>
      </w:r>
      <w:r w:rsidRPr="00762171">
        <w:t xml:space="preserve"> significativas, como:</w:t>
      </w:r>
    </w:p>
    <w:p w14:paraId="5CE52998" w14:textId="77777777" w:rsidR="00762171" w:rsidRPr="00762171" w:rsidRDefault="00762171" w:rsidP="00762171">
      <w:pPr>
        <w:numPr>
          <w:ilvl w:val="0"/>
          <w:numId w:val="25"/>
        </w:numPr>
      </w:pPr>
      <w:r w:rsidRPr="00762171">
        <w:rPr>
          <w:b/>
          <w:bCs/>
        </w:rPr>
        <w:t>Redução da carga tributária sobre rendimentos passivos</w:t>
      </w:r>
      <w:r w:rsidRPr="00762171">
        <w:t xml:space="preserve"> (juros, dividendos, royalties, entre outros).</w:t>
      </w:r>
    </w:p>
    <w:p w14:paraId="5E79926B" w14:textId="77777777" w:rsidR="00762171" w:rsidRPr="00762171" w:rsidRDefault="00762171" w:rsidP="00762171">
      <w:pPr>
        <w:numPr>
          <w:ilvl w:val="0"/>
          <w:numId w:val="25"/>
        </w:numPr>
      </w:pPr>
      <w:r w:rsidRPr="00762171">
        <w:rPr>
          <w:b/>
          <w:bCs/>
        </w:rPr>
        <w:t>Sigilo bancário e societário</w:t>
      </w:r>
      <w:r w:rsidRPr="00762171">
        <w:t>, dificultando a identificação dos verdadeiros titulares dos ativos financeiros.</w:t>
      </w:r>
    </w:p>
    <w:p w14:paraId="78F309C7" w14:textId="77777777" w:rsidR="00762171" w:rsidRPr="00762171" w:rsidRDefault="00762171" w:rsidP="00762171">
      <w:r w:rsidRPr="00762171">
        <w:t>Essas características tornam os paraísos fiscais locais atrativos para quem deseja:</w:t>
      </w:r>
    </w:p>
    <w:p w14:paraId="1ECB219D" w14:textId="77777777" w:rsidR="00762171" w:rsidRPr="00762171" w:rsidRDefault="00762171" w:rsidP="00762171">
      <w:pPr>
        <w:numPr>
          <w:ilvl w:val="0"/>
          <w:numId w:val="26"/>
        </w:numPr>
      </w:pPr>
      <w:r w:rsidRPr="00762171">
        <w:rPr>
          <w:b/>
          <w:bCs/>
        </w:rPr>
        <w:t>Reduzir tributos</w:t>
      </w:r>
      <w:r w:rsidRPr="00762171">
        <w:t xml:space="preserve"> incidentes sobre seus rendimentos.</w:t>
      </w:r>
    </w:p>
    <w:p w14:paraId="71D5437F" w14:textId="77777777" w:rsidR="00762171" w:rsidRPr="00762171" w:rsidRDefault="00762171" w:rsidP="00762171">
      <w:pPr>
        <w:numPr>
          <w:ilvl w:val="0"/>
          <w:numId w:val="26"/>
        </w:numPr>
      </w:pPr>
      <w:r w:rsidRPr="00762171">
        <w:rPr>
          <w:b/>
          <w:bCs/>
        </w:rPr>
        <w:t>Proteger a privacidade</w:t>
      </w:r>
      <w:r w:rsidRPr="00762171">
        <w:t xml:space="preserve"> financeira, ocultando o titular ou a origem dos recursos.</w:t>
      </w:r>
    </w:p>
    <w:p w14:paraId="7886DD90" w14:textId="1D8B5992" w:rsidR="00762171" w:rsidRDefault="00762171" w:rsidP="00B15AED"/>
    <w:p w14:paraId="7C0E6AD7" w14:textId="77777777" w:rsidR="00762171" w:rsidRPr="00762171" w:rsidRDefault="00762171" w:rsidP="00762171">
      <w:pPr>
        <w:rPr>
          <w:b/>
          <w:bCs/>
        </w:rPr>
      </w:pPr>
      <w:r w:rsidRPr="00762171">
        <w:rPr>
          <w:b/>
          <w:bCs/>
        </w:rPr>
        <w:t>Diferença entre Regimes Tributário, Societário, Bancário e Penal Favorecidos</w:t>
      </w:r>
    </w:p>
    <w:p w14:paraId="5025B510" w14:textId="77777777" w:rsidR="00762171" w:rsidRPr="00762171" w:rsidRDefault="00762171" w:rsidP="00762171">
      <w:pPr>
        <w:numPr>
          <w:ilvl w:val="0"/>
          <w:numId w:val="27"/>
        </w:numPr>
      </w:pPr>
      <w:r w:rsidRPr="00762171">
        <w:rPr>
          <w:b/>
          <w:bCs/>
        </w:rPr>
        <w:t>Regime Tributário Favorecido</w:t>
      </w:r>
      <w:r w:rsidRPr="00762171">
        <w:t>:</w:t>
      </w:r>
    </w:p>
    <w:p w14:paraId="51A0037F" w14:textId="77777777" w:rsidR="00762171" w:rsidRPr="00762171" w:rsidRDefault="00762171" w:rsidP="00762171">
      <w:pPr>
        <w:numPr>
          <w:ilvl w:val="1"/>
          <w:numId w:val="27"/>
        </w:numPr>
      </w:pPr>
      <w:r w:rsidRPr="00762171">
        <w:t>Os países com este regime oferecem baixa ou nenhuma tributação sobre determinados rendimentos, especialmente os de empresas offshore ou de atividades financeiras internacionais.</w:t>
      </w:r>
    </w:p>
    <w:p w14:paraId="02B3136E" w14:textId="77777777" w:rsidR="00762171" w:rsidRPr="00762171" w:rsidRDefault="00762171" w:rsidP="00762171">
      <w:pPr>
        <w:numPr>
          <w:ilvl w:val="1"/>
          <w:numId w:val="27"/>
        </w:numPr>
      </w:pPr>
      <w:r w:rsidRPr="00762171">
        <w:t>Exemplo: Ilhas Cayman e Bahamas.</w:t>
      </w:r>
    </w:p>
    <w:p w14:paraId="2AFD12D7" w14:textId="77777777" w:rsidR="00762171" w:rsidRPr="00762171" w:rsidRDefault="00762171" w:rsidP="00762171">
      <w:pPr>
        <w:numPr>
          <w:ilvl w:val="0"/>
          <w:numId w:val="27"/>
        </w:numPr>
      </w:pPr>
      <w:r w:rsidRPr="00762171">
        <w:rPr>
          <w:b/>
          <w:bCs/>
        </w:rPr>
        <w:t>Regime Societário Favorecido</w:t>
      </w:r>
      <w:r w:rsidRPr="00762171">
        <w:t>:</w:t>
      </w:r>
    </w:p>
    <w:p w14:paraId="49C89E92" w14:textId="77777777" w:rsidR="00762171" w:rsidRPr="00762171" w:rsidRDefault="00762171" w:rsidP="00762171">
      <w:pPr>
        <w:numPr>
          <w:ilvl w:val="1"/>
          <w:numId w:val="27"/>
        </w:numPr>
      </w:pPr>
      <w:r w:rsidRPr="00762171">
        <w:lastRenderedPageBreak/>
        <w:t>Caracteriza-se pela possibilidade de criação de empresas com pouca ou nenhuma regulação, baixa exigência de comprovação de atividades econômicas reais e um nível elevado de sigilo.</w:t>
      </w:r>
    </w:p>
    <w:p w14:paraId="30781710" w14:textId="77777777" w:rsidR="00762171" w:rsidRPr="00762171" w:rsidRDefault="00762171" w:rsidP="00762171">
      <w:pPr>
        <w:numPr>
          <w:ilvl w:val="1"/>
          <w:numId w:val="27"/>
        </w:numPr>
      </w:pPr>
      <w:r w:rsidRPr="00762171">
        <w:t xml:space="preserve">As </w:t>
      </w:r>
      <w:r w:rsidRPr="00762171">
        <w:rPr>
          <w:b/>
          <w:bCs/>
        </w:rPr>
        <w:t>empresas offshore</w:t>
      </w:r>
      <w:r w:rsidRPr="00762171">
        <w:t xml:space="preserve"> geralmente são formadas nesses países, facilitando operações financeiras globais.</w:t>
      </w:r>
    </w:p>
    <w:p w14:paraId="0A199A5B" w14:textId="77777777" w:rsidR="00762171" w:rsidRPr="00762171" w:rsidRDefault="00762171" w:rsidP="00762171">
      <w:pPr>
        <w:numPr>
          <w:ilvl w:val="0"/>
          <w:numId w:val="27"/>
        </w:numPr>
      </w:pPr>
      <w:r w:rsidRPr="00762171">
        <w:rPr>
          <w:b/>
          <w:bCs/>
        </w:rPr>
        <w:t>Regime Bancário Favorecido</w:t>
      </w:r>
      <w:r w:rsidRPr="00762171">
        <w:t>:</w:t>
      </w:r>
    </w:p>
    <w:p w14:paraId="13434ADC" w14:textId="77777777" w:rsidR="00762171" w:rsidRPr="00762171" w:rsidRDefault="00762171" w:rsidP="00762171">
      <w:pPr>
        <w:numPr>
          <w:ilvl w:val="1"/>
          <w:numId w:val="27"/>
        </w:numPr>
      </w:pPr>
      <w:r w:rsidRPr="00762171">
        <w:t xml:space="preserve">Países com forte </w:t>
      </w:r>
      <w:r w:rsidRPr="00762171">
        <w:rPr>
          <w:b/>
          <w:bCs/>
        </w:rPr>
        <w:t>sigilo bancário</w:t>
      </w:r>
      <w:r w:rsidRPr="00762171">
        <w:t>, que não divulgam informações sobre contas bancárias para autoridades fiscais ou governos estrangeiros.</w:t>
      </w:r>
    </w:p>
    <w:p w14:paraId="179B9D6F" w14:textId="77777777" w:rsidR="00762171" w:rsidRPr="00762171" w:rsidRDefault="00762171" w:rsidP="00762171">
      <w:pPr>
        <w:numPr>
          <w:ilvl w:val="1"/>
          <w:numId w:val="27"/>
        </w:numPr>
      </w:pPr>
      <w:r w:rsidRPr="00762171">
        <w:t>Exemplo: Suíça (historicamente), Luxemburgo.</w:t>
      </w:r>
    </w:p>
    <w:p w14:paraId="47F3780D" w14:textId="77777777" w:rsidR="00762171" w:rsidRPr="00762171" w:rsidRDefault="00762171" w:rsidP="00762171">
      <w:pPr>
        <w:numPr>
          <w:ilvl w:val="0"/>
          <w:numId w:val="27"/>
        </w:numPr>
      </w:pPr>
      <w:r w:rsidRPr="00762171">
        <w:rPr>
          <w:b/>
          <w:bCs/>
        </w:rPr>
        <w:t>Regime Penal Favorecido</w:t>
      </w:r>
      <w:r w:rsidRPr="00762171">
        <w:t>:</w:t>
      </w:r>
    </w:p>
    <w:p w14:paraId="6251648F" w14:textId="77777777" w:rsidR="00762171" w:rsidRPr="00762171" w:rsidRDefault="00762171" w:rsidP="00762171">
      <w:pPr>
        <w:numPr>
          <w:ilvl w:val="1"/>
          <w:numId w:val="27"/>
        </w:numPr>
      </w:pPr>
      <w:r w:rsidRPr="00762171">
        <w:t xml:space="preserve">Aqui, o objetivo principal não é a redução de impostos, mas </w:t>
      </w:r>
      <w:r w:rsidRPr="00762171">
        <w:rPr>
          <w:b/>
          <w:bCs/>
        </w:rPr>
        <w:t>esconder a origem ilícita dos recursos</w:t>
      </w:r>
      <w:r w:rsidRPr="00762171">
        <w:t>. São países com legislações penais frágeis ou que não exigem colaboração em investigações criminais internacionais.</w:t>
      </w:r>
    </w:p>
    <w:p w14:paraId="65C2269F" w14:textId="77777777" w:rsidR="00762171" w:rsidRDefault="00762171" w:rsidP="00B15AED"/>
    <w:p w14:paraId="53341BB3" w14:textId="77777777" w:rsidR="00762171" w:rsidRDefault="00762171" w:rsidP="00B15AED"/>
    <w:p w14:paraId="22D22D84" w14:textId="77777777" w:rsidR="00762171" w:rsidRPr="00762171" w:rsidRDefault="00762171" w:rsidP="00762171">
      <w:pPr>
        <w:rPr>
          <w:b/>
          <w:bCs/>
        </w:rPr>
      </w:pPr>
      <w:r w:rsidRPr="00762171">
        <w:rPr>
          <w:b/>
          <w:bCs/>
        </w:rPr>
        <w:t>Condições para Qualificar um País como Paraíso Fiscal</w:t>
      </w:r>
    </w:p>
    <w:p w14:paraId="7428DF84" w14:textId="77777777" w:rsidR="00762171" w:rsidRPr="00762171" w:rsidRDefault="00762171" w:rsidP="00762171">
      <w:r w:rsidRPr="00762171">
        <w:t xml:space="preserve">Embora a </w:t>
      </w:r>
      <w:r w:rsidRPr="00762171">
        <w:rPr>
          <w:b/>
          <w:bCs/>
        </w:rPr>
        <w:t>baixa tributação</w:t>
      </w:r>
      <w:r w:rsidRPr="00762171">
        <w:t xml:space="preserve"> seja essencial para definir um paraíso fiscal, ela </w:t>
      </w:r>
      <w:r w:rsidRPr="00762171">
        <w:rPr>
          <w:b/>
          <w:bCs/>
        </w:rPr>
        <w:t>não é suficiente</w:t>
      </w:r>
      <w:r w:rsidRPr="00762171">
        <w:t>. Outros fatores são considerados, como:</w:t>
      </w:r>
    </w:p>
    <w:p w14:paraId="5F13BE7E" w14:textId="77777777" w:rsidR="00762171" w:rsidRPr="00762171" w:rsidRDefault="00762171" w:rsidP="00762171">
      <w:pPr>
        <w:numPr>
          <w:ilvl w:val="0"/>
          <w:numId w:val="28"/>
        </w:numPr>
      </w:pPr>
      <w:r w:rsidRPr="00762171">
        <w:rPr>
          <w:b/>
          <w:bCs/>
        </w:rPr>
        <w:t>Não tributação de empresas offshore</w:t>
      </w:r>
      <w:r w:rsidRPr="00762171">
        <w:t>:</w:t>
      </w:r>
    </w:p>
    <w:p w14:paraId="137FC536" w14:textId="77777777" w:rsidR="00762171" w:rsidRPr="00762171" w:rsidRDefault="00762171" w:rsidP="00762171">
      <w:pPr>
        <w:numPr>
          <w:ilvl w:val="1"/>
          <w:numId w:val="28"/>
        </w:numPr>
      </w:pPr>
      <w:r w:rsidRPr="00762171">
        <w:t>Muitos paraísos fiscais isentam empresas que operam fora do território local, incentivando sua instalação sem a necessidade de realizar atividades econômicas substanciais.</w:t>
      </w:r>
    </w:p>
    <w:p w14:paraId="27BD6F80" w14:textId="77777777" w:rsidR="00762171" w:rsidRPr="00762171" w:rsidRDefault="00762171" w:rsidP="00762171">
      <w:pPr>
        <w:numPr>
          <w:ilvl w:val="0"/>
          <w:numId w:val="28"/>
        </w:numPr>
      </w:pPr>
      <w:r w:rsidRPr="00762171">
        <w:rPr>
          <w:b/>
          <w:bCs/>
        </w:rPr>
        <w:t>Falta de troca de informações fiscais</w:t>
      </w:r>
      <w:r w:rsidRPr="00762171">
        <w:t>:</w:t>
      </w:r>
    </w:p>
    <w:p w14:paraId="296B54E6" w14:textId="77777777" w:rsidR="00762171" w:rsidRPr="00762171" w:rsidRDefault="00762171" w:rsidP="00762171">
      <w:pPr>
        <w:numPr>
          <w:ilvl w:val="1"/>
          <w:numId w:val="28"/>
        </w:numPr>
      </w:pPr>
      <w:r w:rsidRPr="00762171">
        <w:t>A ausência de acordos bilaterais ou multilaterais para compartilhamento de informações financeiras impede que outros países rastreiem recursos de seus cidadãos nesses locais.</w:t>
      </w:r>
    </w:p>
    <w:p w14:paraId="15A4B567" w14:textId="77777777" w:rsidR="00762171" w:rsidRPr="00762171" w:rsidRDefault="00762171" w:rsidP="00762171">
      <w:pPr>
        <w:numPr>
          <w:ilvl w:val="0"/>
          <w:numId w:val="28"/>
        </w:numPr>
      </w:pPr>
      <w:r w:rsidRPr="00762171">
        <w:rPr>
          <w:b/>
          <w:bCs/>
        </w:rPr>
        <w:t>Peso da economia local</w:t>
      </w:r>
      <w:r w:rsidRPr="00762171">
        <w:t>:</w:t>
      </w:r>
    </w:p>
    <w:p w14:paraId="6ACFEC95" w14:textId="77777777" w:rsidR="00762171" w:rsidRPr="00762171" w:rsidRDefault="00762171" w:rsidP="00762171">
      <w:pPr>
        <w:numPr>
          <w:ilvl w:val="1"/>
          <w:numId w:val="28"/>
        </w:numPr>
      </w:pPr>
      <w:r w:rsidRPr="00762171">
        <w:t>Um país pode ser considerado paraíso fiscal quando uma parcela significativa de sua economia depende de atividades financeiras offshore e não da produção local.</w:t>
      </w:r>
    </w:p>
    <w:p w14:paraId="4C178F68" w14:textId="77777777" w:rsidR="00762171" w:rsidRDefault="00762171" w:rsidP="00B15AED"/>
    <w:p w14:paraId="3DC1B980" w14:textId="045F3E12" w:rsidR="00762171" w:rsidRDefault="00762171" w:rsidP="00762171">
      <w:r>
        <w:t>Conforme o autor mencionado, pode-se entender que o</w:t>
      </w:r>
      <w:r w:rsidRPr="00762171">
        <w:t xml:space="preserve">s países com tributação favorecida, embora atraentes para investidores que buscam reduzir sua carga tributária ou esconder recursos, são criticados internacionalmente por facilitarem a evasão fiscal e práticas ilegais. A baixa ou inexistente tributação, associada ao sigilo financeiro, torna esses países polos de operações financeiras globais, mas sua atratividade depende, fundamentalmente, da estabilidade política e jurídica. Exemplo disso é o Panamá, que, após a invasão de 1989, perdeu parte de sua credibilidade no mercado financeiro </w:t>
      </w:r>
      <w:r w:rsidRPr="00762171">
        <w:lastRenderedPageBreak/>
        <w:t>internacional, destacando a importância da confiança e da estabilidade para atrair e reter investidores.</w:t>
      </w:r>
    </w:p>
    <w:p w14:paraId="54CE0C4F" w14:textId="77777777" w:rsidR="00762171" w:rsidRPr="00762171" w:rsidRDefault="00762171" w:rsidP="00762171">
      <w:r w:rsidRPr="00762171">
        <w:t xml:space="preserve">A inclusão de um país ou jurisdição na </w:t>
      </w:r>
      <w:r w:rsidRPr="00762171">
        <w:rPr>
          <w:b/>
          <w:bCs/>
        </w:rPr>
        <w:t>lista de países com tributação favorecida</w:t>
      </w:r>
      <w:r w:rsidRPr="00762171">
        <w:t xml:space="preserve"> (conhecidos como </w:t>
      </w:r>
      <w:r w:rsidRPr="00762171">
        <w:rPr>
          <w:b/>
          <w:bCs/>
        </w:rPr>
        <w:t>paraísos fiscais</w:t>
      </w:r>
      <w:r w:rsidRPr="00762171">
        <w:t>) traz consequências jurídicas importantes para operações realizadas entre contribuintes brasileiros e entidades localizadas nesses países. Essas consequências estão previstas em diversas normas tributárias e financeiras no Brasil, visando dificultar a evasão fiscal, combater práticas de planejamento tributário abusivo e promover maior transparência nas operações.</w:t>
      </w:r>
    </w:p>
    <w:p w14:paraId="5B5E387D" w14:textId="542712F9" w:rsidR="00762171" w:rsidRDefault="00762171" w:rsidP="00762171">
      <w:r w:rsidRPr="00762171">
        <w:t xml:space="preserve">As operações com países ou jurisdições consideradas de tributação favorecida estão sujeitas a </w:t>
      </w:r>
      <w:r w:rsidRPr="00762171">
        <w:rPr>
          <w:b/>
          <w:bCs/>
        </w:rPr>
        <w:t>regras mais rigorosas</w:t>
      </w:r>
      <w:r w:rsidRPr="00762171">
        <w:t>, que aumentam o ônus tributário sobre os contribuintes brasileiros</w:t>
      </w:r>
      <w:r>
        <w:t>.</w:t>
      </w:r>
    </w:p>
    <w:p w14:paraId="2E713813" w14:textId="77777777" w:rsidR="00762171" w:rsidRPr="00762171" w:rsidRDefault="00762171" w:rsidP="00762171">
      <w:pPr>
        <w:rPr>
          <w:b/>
          <w:bCs/>
        </w:rPr>
      </w:pPr>
      <w:r w:rsidRPr="00762171">
        <w:rPr>
          <w:b/>
          <w:bCs/>
        </w:rPr>
        <w:t>a) Alíquota maior do Imposto de Renda Retido na Fonte (IRRF)</w:t>
      </w:r>
    </w:p>
    <w:p w14:paraId="48810D4A" w14:textId="77777777" w:rsidR="00762171" w:rsidRPr="00762171" w:rsidRDefault="00762171" w:rsidP="00762171">
      <w:pPr>
        <w:numPr>
          <w:ilvl w:val="0"/>
          <w:numId w:val="29"/>
        </w:numPr>
      </w:pPr>
      <w:r w:rsidRPr="00762171">
        <w:t xml:space="preserve">Remessas de rendimentos para países ou territórios listados sofrem uma </w:t>
      </w:r>
      <w:r w:rsidRPr="00762171">
        <w:rPr>
          <w:b/>
          <w:bCs/>
        </w:rPr>
        <w:t>alíquota de IRRF de 25%</w:t>
      </w:r>
      <w:r w:rsidRPr="00762171">
        <w:t>, ao invés da alíquota padrão de 15%.</w:t>
      </w:r>
    </w:p>
    <w:p w14:paraId="19E7A84D" w14:textId="77777777" w:rsidR="00762171" w:rsidRPr="00762171" w:rsidRDefault="00762171" w:rsidP="00762171">
      <w:pPr>
        <w:numPr>
          <w:ilvl w:val="0"/>
          <w:numId w:val="29"/>
        </w:numPr>
      </w:pPr>
      <w:r w:rsidRPr="00762171">
        <w:t>Isso se aplica a pagamentos de juros, royalties, serviços e outros rendimentos, como forma de desincentivar a transferência de recursos para essas jurisdições.</w:t>
      </w:r>
    </w:p>
    <w:p w14:paraId="67305256" w14:textId="77777777" w:rsidR="00762171" w:rsidRPr="00762171" w:rsidRDefault="00762171" w:rsidP="00762171">
      <w:pPr>
        <w:rPr>
          <w:b/>
          <w:bCs/>
        </w:rPr>
      </w:pPr>
      <w:r w:rsidRPr="00762171">
        <w:rPr>
          <w:b/>
          <w:bCs/>
        </w:rPr>
        <w:t>b) Regras de Preços de Transferência</w:t>
      </w:r>
    </w:p>
    <w:p w14:paraId="43D38835" w14:textId="77777777" w:rsidR="00762171" w:rsidRPr="00762171" w:rsidRDefault="00762171" w:rsidP="00762171">
      <w:pPr>
        <w:numPr>
          <w:ilvl w:val="0"/>
          <w:numId w:val="30"/>
        </w:numPr>
      </w:pPr>
      <w:r w:rsidRPr="00762171">
        <w:t xml:space="preserve">Operações entre empresas brasileiras e empresas situadas em países de tributação favorecida estão sujeitas a </w:t>
      </w:r>
      <w:r w:rsidRPr="00762171">
        <w:rPr>
          <w:b/>
          <w:bCs/>
        </w:rPr>
        <w:t>regras mais rigorosas de preços de transferência</w:t>
      </w:r>
      <w:r w:rsidRPr="00762171">
        <w:t>, com critérios específicos para evitar a manipulação de preços entre partes relacionadas.</w:t>
      </w:r>
    </w:p>
    <w:p w14:paraId="251D205D" w14:textId="77777777" w:rsidR="00762171" w:rsidRPr="00762171" w:rsidRDefault="00762171" w:rsidP="00762171">
      <w:pPr>
        <w:numPr>
          <w:ilvl w:val="0"/>
          <w:numId w:val="30"/>
        </w:numPr>
      </w:pPr>
      <w:r w:rsidRPr="00762171">
        <w:t>O objetivo é evitar a transferência artificial de lucros para jurisdições de baixa tributação.</w:t>
      </w:r>
    </w:p>
    <w:p w14:paraId="696F51B8" w14:textId="77777777" w:rsidR="00762171" w:rsidRPr="00762171" w:rsidRDefault="00762171" w:rsidP="00762171">
      <w:pPr>
        <w:rPr>
          <w:b/>
          <w:bCs/>
        </w:rPr>
      </w:pPr>
      <w:r w:rsidRPr="00762171">
        <w:rPr>
          <w:b/>
          <w:bCs/>
        </w:rPr>
        <w:t>c) Tributação em Bases Universais</w:t>
      </w:r>
    </w:p>
    <w:p w14:paraId="6E9EFA0D" w14:textId="77777777" w:rsidR="00762171" w:rsidRPr="00762171" w:rsidRDefault="00762171" w:rsidP="00762171">
      <w:pPr>
        <w:numPr>
          <w:ilvl w:val="0"/>
          <w:numId w:val="31"/>
        </w:numPr>
      </w:pPr>
      <w:r w:rsidRPr="00762171">
        <w:t xml:space="preserve">Residentes no Brasil que possuem lucros no exterior provenientes de empresas localizadas em países de tributação favorecida são tributados de forma </w:t>
      </w:r>
      <w:r w:rsidRPr="00762171">
        <w:rPr>
          <w:b/>
          <w:bCs/>
        </w:rPr>
        <w:t>imediata</w:t>
      </w:r>
      <w:r w:rsidRPr="00762171">
        <w:t xml:space="preserve"> no Brasil, independentemente de distribuição dos lucros (regra conhecida como </w:t>
      </w:r>
      <w:r w:rsidRPr="00762171">
        <w:rPr>
          <w:b/>
          <w:bCs/>
        </w:rPr>
        <w:t xml:space="preserve">"CFC </w:t>
      </w:r>
      <w:proofErr w:type="spellStart"/>
      <w:r w:rsidRPr="00762171">
        <w:rPr>
          <w:b/>
          <w:bCs/>
        </w:rPr>
        <w:t>rules</w:t>
      </w:r>
      <w:proofErr w:type="spellEnd"/>
      <w:r w:rsidRPr="00762171">
        <w:rPr>
          <w:b/>
          <w:bCs/>
        </w:rPr>
        <w:t xml:space="preserve">" – </w:t>
      </w:r>
      <w:proofErr w:type="spellStart"/>
      <w:r w:rsidRPr="00762171">
        <w:rPr>
          <w:b/>
          <w:bCs/>
        </w:rPr>
        <w:t>Controlled</w:t>
      </w:r>
      <w:proofErr w:type="spellEnd"/>
      <w:r w:rsidRPr="00762171">
        <w:rPr>
          <w:b/>
          <w:bCs/>
        </w:rPr>
        <w:t xml:space="preserve"> </w:t>
      </w:r>
      <w:proofErr w:type="spellStart"/>
      <w:r w:rsidRPr="00762171">
        <w:rPr>
          <w:b/>
          <w:bCs/>
        </w:rPr>
        <w:t>Foreign</w:t>
      </w:r>
      <w:proofErr w:type="spellEnd"/>
      <w:r w:rsidRPr="00762171">
        <w:rPr>
          <w:b/>
          <w:bCs/>
        </w:rPr>
        <w:t xml:space="preserve"> </w:t>
      </w:r>
      <w:proofErr w:type="spellStart"/>
      <w:r w:rsidRPr="00762171">
        <w:rPr>
          <w:b/>
          <w:bCs/>
        </w:rPr>
        <w:t>Companies</w:t>
      </w:r>
      <w:proofErr w:type="spellEnd"/>
      <w:r w:rsidRPr="00762171">
        <w:t>).</w:t>
      </w:r>
    </w:p>
    <w:p w14:paraId="63EBA860" w14:textId="77777777" w:rsidR="00762171" w:rsidRPr="00762171" w:rsidRDefault="00762171" w:rsidP="00762171">
      <w:pPr>
        <w:numPr>
          <w:ilvl w:val="0"/>
          <w:numId w:val="31"/>
        </w:numPr>
      </w:pPr>
      <w:r w:rsidRPr="00762171">
        <w:t>Essa regra impede que lucros acumulados em paraísos fiscais escapem da tributação até sua efetiva repatriação.</w:t>
      </w:r>
    </w:p>
    <w:p w14:paraId="49F45D38" w14:textId="77777777" w:rsidR="00762171" w:rsidRDefault="00762171" w:rsidP="00762171"/>
    <w:p w14:paraId="0CF6C104" w14:textId="77777777" w:rsidR="00762171" w:rsidRPr="00762171" w:rsidRDefault="00762171" w:rsidP="00762171">
      <w:pPr>
        <w:rPr>
          <w:b/>
          <w:bCs/>
        </w:rPr>
      </w:pPr>
      <w:r w:rsidRPr="00762171">
        <w:rPr>
          <w:b/>
          <w:bCs/>
        </w:rPr>
        <w:t>Presunção de Distribuição de Lucros</w:t>
      </w:r>
    </w:p>
    <w:p w14:paraId="71576116" w14:textId="77777777" w:rsidR="00762171" w:rsidRPr="00762171" w:rsidRDefault="00762171" w:rsidP="00762171">
      <w:pPr>
        <w:numPr>
          <w:ilvl w:val="0"/>
          <w:numId w:val="32"/>
        </w:numPr>
      </w:pPr>
      <w:r w:rsidRPr="00762171">
        <w:t xml:space="preserve">Nos casos de remessas para países da lista, presume-se que qualquer pagamento ou envio de valores representa </w:t>
      </w:r>
      <w:r w:rsidRPr="00762171">
        <w:rPr>
          <w:b/>
          <w:bCs/>
        </w:rPr>
        <w:t>distribuição de lucros</w:t>
      </w:r>
      <w:r w:rsidRPr="00762171">
        <w:t>, mesmo que a operação tenha outra natureza. Isso implica tributação direta na fonte.</w:t>
      </w:r>
    </w:p>
    <w:p w14:paraId="6ACE327A" w14:textId="77777777" w:rsidR="00762171" w:rsidRDefault="00762171" w:rsidP="00762171"/>
    <w:p w14:paraId="78B5E288" w14:textId="77777777" w:rsidR="00762171" w:rsidRPr="00762171" w:rsidRDefault="00762171" w:rsidP="00762171">
      <w:pPr>
        <w:rPr>
          <w:b/>
          <w:bCs/>
        </w:rPr>
      </w:pPr>
      <w:r w:rsidRPr="00762171">
        <w:rPr>
          <w:b/>
          <w:bCs/>
        </w:rPr>
        <w:t>Restrição à Dedutibilidade de Despesas</w:t>
      </w:r>
    </w:p>
    <w:p w14:paraId="74C0832C" w14:textId="77777777" w:rsidR="00762171" w:rsidRPr="00762171" w:rsidRDefault="00762171" w:rsidP="00762171">
      <w:pPr>
        <w:numPr>
          <w:ilvl w:val="0"/>
          <w:numId w:val="33"/>
        </w:numPr>
      </w:pPr>
      <w:r w:rsidRPr="00762171">
        <w:t xml:space="preserve">Despesas com operações realizadas com empresas situadas em países de tributação favorecida ou sob regime fiscal privilegiado podem ser </w:t>
      </w:r>
      <w:r w:rsidRPr="00762171">
        <w:rPr>
          <w:b/>
          <w:bCs/>
        </w:rPr>
        <w:t>indedutíveis</w:t>
      </w:r>
      <w:r w:rsidRPr="00762171">
        <w:t xml:space="preserve"> </w:t>
      </w:r>
      <w:r w:rsidRPr="00762171">
        <w:lastRenderedPageBreak/>
        <w:t>para fins de apuração do lucro real e da base de cálculo da CSLL (Contribuição Social sobre o Lucro Líquido), exceto se:</w:t>
      </w:r>
    </w:p>
    <w:p w14:paraId="18753449" w14:textId="77777777" w:rsidR="00762171" w:rsidRPr="00762171" w:rsidRDefault="00762171" w:rsidP="00762171">
      <w:pPr>
        <w:numPr>
          <w:ilvl w:val="1"/>
          <w:numId w:val="33"/>
        </w:numPr>
      </w:pPr>
      <w:r w:rsidRPr="00762171">
        <w:t>O contribuinte demonstrar que a operação é real, legítima e necessária para sua atividade.</w:t>
      </w:r>
    </w:p>
    <w:p w14:paraId="63638D63" w14:textId="77777777" w:rsidR="00762171" w:rsidRPr="00762171" w:rsidRDefault="00762171" w:rsidP="00762171">
      <w:pPr>
        <w:numPr>
          <w:ilvl w:val="0"/>
          <w:numId w:val="33"/>
        </w:numPr>
      </w:pPr>
      <w:r w:rsidRPr="00762171">
        <w:t>Essa exigência busca evitar o uso de despesas fictícias para reduzir a base tributável no Brasil.</w:t>
      </w:r>
    </w:p>
    <w:p w14:paraId="74CFE68D" w14:textId="77777777" w:rsidR="00762171" w:rsidRDefault="00762171" w:rsidP="00762171"/>
    <w:p w14:paraId="6E343240" w14:textId="77777777" w:rsidR="00762171" w:rsidRDefault="00762171" w:rsidP="00762171"/>
    <w:p w14:paraId="70674B7E" w14:textId="77777777" w:rsidR="00762171" w:rsidRPr="00762171" w:rsidRDefault="00762171" w:rsidP="00762171">
      <w:pPr>
        <w:rPr>
          <w:b/>
          <w:bCs/>
        </w:rPr>
      </w:pPr>
      <w:r w:rsidRPr="00762171">
        <w:rPr>
          <w:b/>
          <w:bCs/>
        </w:rPr>
        <w:t>Exigência de Declaração e Controle</w:t>
      </w:r>
    </w:p>
    <w:p w14:paraId="45C804E1" w14:textId="77777777" w:rsidR="00762171" w:rsidRPr="00762171" w:rsidRDefault="00762171" w:rsidP="00762171">
      <w:pPr>
        <w:rPr>
          <w:b/>
          <w:bCs/>
        </w:rPr>
      </w:pPr>
      <w:r w:rsidRPr="00762171">
        <w:rPr>
          <w:b/>
          <w:bCs/>
        </w:rPr>
        <w:t>a) Declaração de Capitais Brasileiros no Exterior (CBE)</w:t>
      </w:r>
    </w:p>
    <w:p w14:paraId="256FF8FE" w14:textId="77777777" w:rsidR="00762171" w:rsidRPr="00762171" w:rsidRDefault="00762171" w:rsidP="00762171">
      <w:pPr>
        <w:numPr>
          <w:ilvl w:val="0"/>
          <w:numId w:val="34"/>
        </w:numPr>
      </w:pPr>
      <w:r w:rsidRPr="00762171">
        <w:t>Residentes no Brasil que possuem ativos financeiros ou investimentos em países de tributação favorecida estão sujeitos a obrigações adicionais de declaração ao Banco Central do Brasil, especialmente se os valores ultrapassarem os limites legais.</w:t>
      </w:r>
    </w:p>
    <w:p w14:paraId="53AFE62A" w14:textId="77777777" w:rsidR="00762171" w:rsidRPr="00762171" w:rsidRDefault="00762171" w:rsidP="00762171">
      <w:pPr>
        <w:rPr>
          <w:b/>
          <w:bCs/>
        </w:rPr>
      </w:pPr>
      <w:r w:rsidRPr="00762171">
        <w:rPr>
          <w:b/>
          <w:bCs/>
        </w:rPr>
        <w:t>b) Declaração de Operações Relevantes</w:t>
      </w:r>
    </w:p>
    <w:p w14:paraId="1E1DB473" w14:textId="77777777" w:rsidR="00762171" w:rsidRPr="00762171" w:rsidRDefault="00762171" w:rsidP="00762171">
      <w:pPr>
        <w:numPr>
          <w:ilvl w:val="0"/>
          <w:numId w:val="35"/>
        </w:numPr>
      </w:pPr>
      <w:r w:rsidRPr="00762171">
        <w:t>Operações realizadas com empresas situadas em países de tributação favorecida precisam ser informadas detalhadamente à Receita Federal, como parte das obrigações acessórias, para garantir maior transparência.</w:t>
      </w:r>
    </w:p>
    <w:p w14:paraId="27D6912B" w14:textId="77777777" w:rsidR="00762171" w:rsidRDefault="00762171" w:rsidP="00762171"/>
    <w:p w14:paraId="6A05F2E5" w14:textId="77777777" w:rsidR="00762171" w:rsidRDefault="00762171" w:rsidP="00762171"/>
    <w:p w14:paraId="3C56684C" w14:textId="77777777" w:rsidR="00762171" w:rsidRPr="00762171" w:rsidRDefault="00762171" w:rsidP="00762171">
      <w:pPr>
        <w:rPr>
          <w:b/>
          <w:bCs/>
        </w:rPr>
      </w:pPr>
      <w:r w:rsidRPr="00762171">
        <w:rPr>
          <w:b/>
          <w:bCs/>
        </w:rPr>
        <w:t>Monitoramento Aumentado</w:t>
      </w:r>
    </w:p>
    <w:p w14:paraId="59EBF1F7" w14:textId="77777777" w:rsidR="00762171" w:rsidRPr="00762171" w:rsidRDefault="00762171" w:rsidP="00762171">
      <w:r w:rsidRPr="00762171">
        <w:t xml:space="preserve">Países com tributação favorecida estão sujeitos a </w:t>
      </w:r>
      <w:r w:rsidRPr="00762171">
        <w:rPr>
          <w:b/>
          <w:bCs/>
        </w:rPr>
        <w:t>maior vigilância internacional</w:t>
      </w:r>
      <w:r w:rsidRPr="00762171">
        <w:t xml:space="preserve"> e ao uso de informações compartilhadas entre autoridades fiscais no âmbito de acordos como:</w:t>
      </w:r>
    </w:p>
    <w:p w14:paraId="4BAE8013" w14:textId="77777777" w:rsidR="00762171" w:rsidRPr="00762171" w:rsidRDefault="00762171" w:rsidP="00762171">
      <w:pPr>
        <w:numPr>
          <w:ilvl w:val="0"/>
          <w:numId w:val="36"/>
        </w:numPr>
      </w:pPr>
      <w:r w:rsidRPr="00762171">
        <w:rPr>
          <w:b/>
          <w:bCs/>
        </w:rPr>
        <w:t xml:space="preserve">Common </w:t>
      </w:r>
      <w:proofErr w:type="spellStart"/>
      <w:r w:rsidRPr="00762171">
        <w:rPr>
          <w:b/>
          <w:bCs/>
        </w:rPr>
        <w:t>Reporting</w:t>
      </w:r>
      <w:proofErr w:type="spellEnd"/>
      <w:r w:rsidRPr="00762171">
        <w:rPr>
          <w:b/>
          <w:bCs/>
        </w:rPr>
        <w:t xml:space="preserve"> Standard (CRS)</w:t>
      </w:r>
      <w:r w:rsidRPr="00762171">
        <w:t>: Acordo global de troca automática de informações financeiras.</w:t>
      </w:r>
    </w:p>
    <w:p w14:paraId="00742F99" w14:textId="77777777" w:rsidR="00762171" w:rsidRPr="00762171" w:rsidRDefault="00762171" w:rsidP="00762171">
      <w:pPr>
        <w:numPr>
          <w:ilvl w:val="0"/>
          <w:numId w:val="36"/>
        </w:numPr>
      </w:pPr>
      <w:r w:rsidRPr="00762171">
        <w:rPr>
          <w:b/>
          <w:bCs/>
        </w:rPr>
        <w:t>Fórum Global sobre Transparência e Troca de Informações da OCDE</w:t>
      </w:r>
      <w:r w:rsidRPr="00762171">
        <w:t>.</w:t>
      </w:r>
    </w:p>
    <w:p w14:paraId="30992F85" w14:textId="77777777" w:rsidR="00762171" w:rsidRDefault="00762171" w:rsidP="00762171"/>
    <w:p w14:paraId="4313C414" w14:textId="77777777" w:rsidR="00762171" w:rsidRDefault="00762171" w:rsidP="00762171"/>
    <w:p w14:paraId="3DC6C961" w14:textId="77777777" w:rsidR="00762171" w:rsidRPr="00762171" w:rsidRDefault="00762171" w:rsidP="00762171">
      <w:pPr>
        <w:rPr>
          <w:b/>
          <w:bCs/>
        </w:rPr>
      </w:pPr>
      <w:r w:rsidRPr="00762171">
        <w:rPr>
          <w:b/>
          <w:bCs/>
        </w:rPr>
        <w:t>Consequências Indiretas</w:t>
      </w:r>
    </w:p>
    <w:p w14:paraId="0E2862E9" w14:textId="77777777" w:rsidR="00762171" w:rsidRPr="00762171" w:rsidRDefault="00762171" w:rsidP="00762171">
      <w:pPr>
        <w:rPr>
          <w:b/>
          <w:bCs/>
        </w:rPr>
      </w:pPr>
      <w:r w:rsidRPr="00762171">
        <w:rPr>
          <w:b/>
          <w:bCs/>
        </w:rPr>
        <w:t>a) Presunção de Planejamento Tributário Abusivo</w:t>
      </w:r>
    </w:p>
    <w:p w14:paraId="3E6741DD" w14:textId="77777777" w:rsidR="00762171" w:rsidRPr="00762171" w:rsidRDefault="00762171" w:rsidP="00762171">
      <w:pPr>
        <w:numPr>
          <w:ilvl w:val="0"/>
          <w:numId w:val="37"/>
        </w:numPr>
      </w:pPr>
      <w:r w:rsidRPr="00762171">
        <w:t xml:space="preserve">A realização de operações com países da lista pode ser presumida como indicativo de </w:t>
      </w:r>
      <w:r w:rsidRPr="00762171">
        <w:rPr>
          <w:b/>
          <w:bCs/>
        </w:rPr>
        <w:t>planejamento tributário abusivo</w:t>
      </w:r>
      <w:r w:rsidRPr="00762171">
        <w:t xml:space="preserve"> ou tentativa de evasão fiscal, exigindo comprovação do propósito econômico e da legitimidade das operações.</w:t>
      </w:r>
    </w:p>
    <w:p w14:paraId="1A567E20" w14:textId="77777777" w:rsidR="00762171" w:rsidRPr="00762171" w:rsidRDefault="00762171" w:rsidP="00762171">
      <w:pPr>
        <w:rPr>
          <w:b/>
          <w:bCs/>
        </w:rPr>
      </w:pPr>
      <w:r w:rsidRPr="00762171">
        <w:rPr>
          <w:b/>
          <w:bCs/>
        </w:rPr>
        <w:t>b) Fiscalização mais intensa</w:t>
      </w:r>
    </w:p>
    <w:p w14:paraId="03314601" w14:textId="77777777" w:rsidR="00762171" w:rsidRPr="00762171" w:rsidRDefault="00762171" w:rsidP="00762171">
      <w:pPr>
        <w:numPr>
          <w:ilvl w:val="0"/>
          <w:numId w:val="38"/>
        </w:numPr>
      </w:pPr>
      <w:r w:rsidRPr="00762171">
        <w:lastRenderedPageBreak/>
        <w:t>A Receita Federal tende a monitorar de forma mais rigorosa operações que envolvem países da lista, especialmente quanto à natureza dos pagamentos, preços praticados e a estruturação societária envolvida.</w:t>
      </w:r>
    </w:p>
    <w:p w14:paraId="46F1459D" w14:textId="77777777" w:rsidR="00762171" w:rsidRDefault="00762171" w:rsidP="00762171"/>
    <w:p w14:paraId="0247C07D" w14:textId="77777777" w:rsidR="00762171" w:rsidRPr="00762171" w:rsidRDefault="00762171" w:rsidP="00762171">
      <w:pPr>
        <w:rPr>
          <w:b/>
          <w:bCs/>
        </w:rPr>
      </w:pPr>
      <w:r w:rsidRPr="00762171">
        <w:rPr>
          <w:b/>
          <w:bCs/>
        </w:rPr>
        <w:t>Impacto em Acordos e Tratados Internacionais</w:t>
      </w:r>
    </w:p>
    <w:p w14:paraId="15B01AF5" w14:textId="77777777" w:rsidR="00762171" w:rsidRPr="00762171" w:rsidRDefault="00762171" w:rsidP="00762171">
      <w:r w:rsidRPr="00762171">
        <w:t>Países considerados de tributação favorecida frequentemente:</w:t>
      </w:r>
    </w:p>
    <w:p w14:paraId="2006EE8B" w14:textId="77777777" w:rsidR="00762171" w:rsidRPr="00762171" w:rsidRDefault="00762171" w:rsidP="00762171">
      <w:pPr>
        <w:numPr>
          <w:ilvl w:val="0"/>
          <w:numId w:val="39"/>
        </w:numPr>
      </w:pPr>
      <w:r w:rsidRPr="00762171">
        <w:rPr>
          <w:b/>
          <w:bCs/>
        </w:rPr>
        <w:t>Não possuem tratados para evitar a dupla tributação</w:t>
      </w:r>
      <w:r w:rsidRPr="00762171">
        <w:t xml:space="preserve"> com o Brasil.</w:t>
      </w:r>
    </w:p>
    <w:p w14:paraId="44FA0431" w14:textId="77777777" w:rsidR="00762171" w:rsidRPr="00762171" w:rsidRDefault="00762171" w:rsidP="00762171">
      <w:pPr>
        <w:numPr>
          <w:ilvl w:val="0"/>
          <w:numId w:val="39"/>
        </w:numPr>
      </w:pPr>
      <w:r w:rsidRPr="00762171">
        <w:t>Não participam de acordos de troca de informações tributárias, dificultando o rastreamento de recursos e o combate à evasão fiscal.</w:t>
      </w:r>
    </w:p>
    <w:p w14:paraId="3E9BF1D6" w14:textId="77777777" w:rsidR="00762171" w:rsidRDefault="00762171" w:rsidP="00762171"/>
    <w:p w14:paraId="501B5B18" w14:textId="77777777" w:rsidR="00762171" w:rsidRDefault="00762171" w:rsidP="00762171"/>
    <w:p w14:paraId="5CE6B6AC" w14:textId="0DA944C7" w:rsidR="00762171" w:rsidRPr="00762171" w:rsidRDefault="00762171" w:rsidP="00762171">
      <w:pPr>
        <w:rPr>
          <w:b/>
          <w:bCs/>
        </w:rPr>
      </w:pPr>
      <w:r w:rsidRPr="00762171">
        <w:rPr>
          <w:b/>
          <w:bCs/>
        </w:rPr>
        <w:t>Logo, e</w:t>
      </w:r>
      <w:r w:rsidRPr="00762171">
        <w:rPr>
          <w:b/>
          <w:bCs/>
        </w:rPr>
        <w:t>star na lista de países com tributação favorecida acarreta sérias consequências para as operações realizadas entre o Brasil e essas jurisdições, incluindo:</w:t>
      </w:r>
    </w:p>
    <w:p w14:paraId="19FAC166" w14:textId="77777777" w:rsidR="00762171" w:rsidRPr="00762171" w:rsidRDefault="00762171" w:rsidP="00762171">
      <w:pPr>
        <w:numPr>
          <w:ilvl w:val="0"/>
          <w:numId w:val="40"/>
        </w:numPr>
      </w:pPr>
      <w:r w:rsidRPr="00762171">
        <w:rPr>
          <w:b/>
          <w:bCs/>
        </w:rPr>
        <w:t>Alíquotas mais altas de tributos (IRRF)</w:t>
      </w:r>
      <w:r w:rsidRPr="00762171">
        <w:t>.</w:t>
      </w:r>
    </w:p>
    <w:p w14:paraId="43DA2286" w14:textId="77777777" w:rsidR="00762171" w:rsidRPr="00762171" w:rsidRDefault="00762171" w:rsidP="00762171">
      <w:pPr>
        <w:numPr>
          <w:ilvl w:val="0"/>
          <w:numId w:val="40"/>
        </w:numPr>
      </w:pPr>
      <w:r w:rsidRPr="00762171">
        <w:rPr>
          <w:b/>
          <w:bCs/>
        </w:rPr>
        <w:t>Regras mais rigorosas de dedutibilidade e controle</w:t>
      </w:r>
      <w:r w:rsidRPr="00762171">
        <w:t>.</w:t>
      </w:r>
    </w:p>
    <w:p w14:paraId="226B3890" w14:textId="77777777" w:rsidR="00762171" w:rsidRPr="00762171" w:rsidRDefault="00762171" w:rsidP="00762171">
      <w:pPr>
        <w:numPr>
          <w:ilvl w:val="0"/>
          <w:numId w:val="40"/>
        </w:numPr>
      </w:pPr>
      <w:r w:rsidRPr="00762171">
        <w:rPr>
          <w:b/>
          <w:bCs/>
        </w:rPr>
        <w:t>Fiscalização intensa</w:t>
      </w:r>
      <w:r w:rsidRPr="00762171">
        <w:t xml:space="preserve"> e presunção de planejamento abusivo.</w:t>
      </w:r>
    </w:p>
    <w:p w14:paraId="0665A38A" w14:textId="77777777" w:rsidR="00762171" w:rsidRDefault="00762171" w:rsidP="00762171">
      <w:r w:rsidRPr="00762171">
        <w:t>Essas medidas refletem o esforço do Brasil em desestimular o uso de paraísos fiscais como ferramentas de evasão fiscal e lavagem de dinheiro, promovendo maior transparência e justiça tributária no contexto global.</w:t>
      </w:r>
    </w:p>
    <w:p w14:paraId="5C565C99" w14:textId="77777777" w:rsidR="00B72977" w:rsidRDefault="00B72977" w:rsidP="00762171"/>
    <w:p w14:paraId="2EAAED86" w14:textId="09F6554C" w:rsidR="00B72977" w:rsidRPr="00B72977" w:rsidRDefault="00B72977" w:rsidP="00762171">
      <w:pPr>
        <w:rPr>
          <w:b/>
          <w:bCs/>
        </w:rPr>
      </w:pPr>
      <w:r w:rsidRPr="00B72977">
        <w:rPr>
          <w:b/>
          <w:bCs/>
        </w:rPr>
        <w:t>A lista de países com tributação favorecida e regimes fiscais privilegiados estabelecida pela Instrução Normativa RFB nº 1.037/2010 é enumerativa e não taxativa.</w:t>
      </w:r>
    </w:p>
    <w:p w14:paraId="6107EA11" w14:textId="6A4ADB0A" w:rsidR="00B72977" w:rsidRDefault="00B72977" w:rsidP="00762171">
      <w:r w:rsidRPr="00B72977">
        <w:t>A lista publicada pela Receita Federal indica os países e territórios que, naquele momento, atendem aos critérios de tributação favorecida ou regime fiscal privilegiado, conforme estabelecido nos artigos 24 e 24-A da Lei nº 9.430/1996.</w:t>
      </w:r>
    </w:p>
    <w:p w14:paraId="5A6DFD53" w14:textId="34676B9B" w:rsidR="00B72977" w:rsidRDefault="00B72977" w:rsidP="00762171">
      <w:r w:rsidRPr="00B72977">
        <w:t>A lista não é exaustiva, ou seja, não contém todos os países ou jurisdições que poderiam ser considerados de tributação favorecida. Outros países ou territórios podem ser enquadrados como paraísos fiscais ou com regime fiscal privilegiado, mesmo que não estejam expressamente listados, desde que atendam aos critérios legais.</w:t>
      </w:r>
    </w:p>
    <w:p w14:paraId="24FED9FF" w14:textId="5728832A" w:rsidR="00B72977" w:rsidRDefault="00B72977" w:rsidP="00762171">
      <w:r w:rsidRPr="00B72977">
        <w:t>A Lei nº 9.430/1996, em seus artigos 24 (tributação favorecida) e 24-A (regimes fiscais privilegiados), estabelece critérios gerais para determinar o que caracteriza um paraíso fiscal ou regime privilegiado. A Instrução Normativa nº 1.037/2010 é uma regulamentação administrativa, mas a aplicação desses critérios não se limita à lista publicada.</w:t>
      </w:r>
    </w:p>
    <w:p w14:paraId="5F983F44" w14:textId="4C50AD42" w:rsidR="00B72977" w:rsidRDefault="00B72977" w:rsidP="00762171">
      <w:r w:rsidRPr="00B72977">
        <w:t>A retirada de um país da lista da Instrução Normativa RFB nº 1.037/2010 não é retroativa. Ela se aplica apenas a partir da vigência da nova Instrução Normativa que modifica a lista, salvo disposição expressa em contrário</w:t>
      </w:r>
      <w:r>
        <w:t xml:space="preserve">, por conta do </w:t>
      </w:r>
      <w:r w:rsidRPr="00B72977">
        <w:t xml:space="preserve">Princípio da Irretroatividade </w:t>
      </w:r>
      <w:r w:rsidRPr="00B72977">
        <w:lastRenderedPageBreak/>
        <w:t>Tributária</w:t>
      </w:r>
      <w:r>
        <w:t xml:space="preserve">. Assim, a retirada de um país da lista </w:t>
      </w:r>
      <w:r w:rsidRPr="00B72977">
        <w:t xml:space="preserve">produz efeitos apenas para operações realizadas </w:t>
      </w:r>
      <w:r w:rsidRPr="00B72977">
        <w:rPr>
          <w:b/>
          <w:bCs/>
        </w:rPr>
        <w:t>a partir da vigência da nova Instrução Normativa</w:t>
      </w:r>
      <w:r w:rsidRPr="00B72977">
        <w:t xml:space="preserve"> que exclui o país da lista, em respeito </w:t>
      </w:r>
      <w:r>
        <w:t xml:space="preserve">também </w:t>
      </w:r>
      <w:r w:rsidRPr="00B72977">
        <w:t>à segurança jurídica.</w:t>
      </w:r>
    </w:p>
    <w:p w14:paraId="29ACD2C1" w14:textId="77777777" w:rsidR="00B72977" w:rsidRDefault="00B72977" w:rsidP="00762171"/>
    <w:p w14:paraId="5E691458" w14:textId="043F9398" w:rsidR="00762171" w:rsidRPr="00762171" w:rsidRDefault="00762171" w:rsidP="00762171"/>
    <w:p w14:paraId="3AAC103F" w14:textId="4BF64847" w:rsidR="00762171" w:rsidRDefault="00762171" w:rsidP="00B15AED"/>
    <w:p w14:paraId="2EC621ED" w14:textId="77777777" w:rsidR="00762171" w:rsidRDefault="00762171" w:rsidP="00B15AED"/>
    <w:p w14:paraId="36528562" w14:textId="1E5C2357" w:rsidR="00B15AED" w:rsidRPr="00B15AED" w:rsidRDefault="00B15AED" w:rsidP="00B15AED">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t>3. Quais os tributos incidentes sobre o comércio exterior brasileiro na importação e</w:t>
      </w:r>
      <w:r>
        <w:t xml:space="preserve"> </w:t>
      </w:r>
      <w:r w:rsidRPr="00B15AED">
        <w:t>exportação? Estes são idênticos aos tributos aduaneiros? Responda comentando (i) a</w:t>
      </w:r>
      <w:r>
        <w:t xml:space="preserve"> </w:t>
      </w:r>
      <w:r w:rsidRPr="00B15AED">
        <w:t>aplicabilidade do princípio da não-discriminação em matéria tributária; (</w:t>
      </w:r>
      <w:proofErr w:type="spellStart"/>
      <w:r w:rsidRPr="00B15AED">
        <w:t>ii</w:t>
      </w:r>
      <w:proofErr w:type="spellEnd"/>
      <w:r w:rsidRPr="00B15AED">
        <w:t>) Qual(</w:t>
      </w:r>
      <w:proofErr w:type="spellStart"/>
      <w:r w:rsidRPr="00B15AED">
        <w:t>is</w:t>
      </w:r>
      <w:proofErr w:type="spellEnd"/>
      <w:r w:rsidRPr="00B15AED">
        <w:t>)</w:t>
      </w:r>
      <w:r>
        <w:t xml:space="preserve"> </w:t>
      </w:r>
      <w:r w:rsidRPr="00B15AED">
        <w:t>modalidade(s) de lançamento tributário aplica(m)-se ao imposto de importação e ao</w:t>
      </w:r>
      <w:r>
        <w:t xml:space="preserve"> </w:t>
      </w:r>
      <w:r w:rsidRPr="00B15AED">
        <w:t>imposto de exportação? E (</w:t>
      </w:r>
      <w:proofErr w:type="spellStart"/>
      <w:r w:rsidRPr="00B15AED">
        <w:t>iii</w:t>
      </w:r>
      <w:proofErr w:type="spellEnd"/>
      <w:r w:rsidRPr="00B15AED">
        <w:t>) Qual o sujeito passivo deste tributo? E se ocorresse</w:t>
      </w:r>
      <w:r>
        <w:t xml:space="preserve"> </w:t>
      </w:r>
      <w:r w:rsidRPr="00B15AED">
        <w:t>importação por conta e ordem ou por encomenda, este sujeito passivo seria distinto?</w:t>
      </w:r>
    </w:p>
    <w:p w14:paraId="645220CC" w14:textId="77777777" w:rsidR="00B15AED" w:rsidRDefault="00B15AED" w:rsidP="00B15AED"/>
    <w:p w14:paraId="23F45E97" w14:textId="0444D103" w:rsidR="00492727" w:rsidRDefault="001C6100" w:rsidP="00B15AED">
      <w:pPr>
        <w:rPr>
          <w:b/>
          <w:bCs/>
        </w:rPr>
      </w:pPr>
      <w:r>
        <w:t xml:space="preserve">Sobre </w:t>
      </w:r>
      <w:r w:rsidRPr="001C6100">
        <w:rPr>
          <w:b/>
          <w:bCs/>
        </w:rPr>
        <w:t>Tributação incidente sobre a entrada de Mercadorias</w:t>
      </w:r>
      <w:r>
        <w:rPr>
          <w:rStyle w:val="Refdenotaderodap"/>
          <w:b/>
          <w:bCs/>
        </w:rPr>
        <w:footnoteReference w:id="6"/>
      </w:r>
      <w:r>
        <w:rPr>
          <w:b/>
          <w:bCs/>
        </w:rPr>
        <w:t>:</w:t>
      </w:r>
    </w:p>
    <w:p w14:paraId="775310D5" w14:textId="77777777" w:rsidR="001C6100" w:rsidRDefault="001C6100" w:rsidP="00B15AED">
      <w:pPr>
        <w:rPr>
          <w:b/>
          <w:bCs/>
        </w:rPr>
      </w:pPr>
    </w:p>
    <w:p w14:paraId="5B14CBA4" w14:textId="77777777" w:rsidR="00762171" w:rsidRPr="00762171" w:rsidRDefault="00762171" w:rsidP="00762171">
      <w:r w:rsidRPr="00762171">
        <w:t>Os tributos incidentes na importação são:</w:t>
      </w:r>
    </w:p>
    <w:p w14:paraId="47D53436" w14:textId="77777777" w:rsidR="00762171" w:rsidRPr="00762171" w:rsidRDefault="00762171" w:rsidP="00762171">
      <w:pPr>
        <w:numPr>
          <w:ilvl w:val="0"/>
          <w:numId w:val="22"/>
        </w:numPr>
      </w:pPr>
      <w:hyperlink r:id="rId8" w:history="1">
        <w:r w:rsidRPr="00762171">
          <w:rPr>
            <w:rStyle w:val="Hyperlink"/>
            <w:b/>
            <w:bCs/>
          </w:rPr>
          <w:t>Imposto de Importação – II</w:t>
        </w:r>
      </w:hyperlink>
      <w:r w:rsidRPr="00762171">
        <w:br/>
        <w:t> </w:t>
      </w:r>
    </w:p>
    <w:p w14:paraId="5940C918" w14:textId="77777777" w:rsidR="00762171" w:rsidRPr="00762171" w:rsidRDefault="00762171" w:rsidP="00762171">
      <w:pPr>
        <w:numPr>
          <w:ilvl w:val="0"/>
          <w:numId w:val="22"/>
        </w:numPr>
      </w:pPr>
      <w:hyperlink r:id="rId9" w:tgtFrame="_self" w:history="1">
        <w:r w:rsidRPr="00762171">
          <w:rPr>
            <w:rStyle w:val="Hyperlink"/>
            <w:b/>
            <w:bCs/>
          </w:rPr>
          <w:t>Imposto sobre Produtos Industrializados - IPI</w:t>
        </w:r>
      </w:hyperlink>
      <w:r w:rsidRPr="00762171">
        <w:br/>
        <w:t> </w:t>
      </w:r>
    </w:p>
    <w:p w14:paraId="256F7084" w14:textId="77777777" w:rsidR="00762171" w:rsidRPr="00762171" w:rsidRDefault="00762171" w:rsidP="00762171">
      <w:pPr>
        <w:numPr>
          <w:ilvl w:val="0"/>
          <w:numId w:val="22"/>
        </w:numPr>
      </w:pPr>
      <w:hyperlink r:id="rId10" w:history="1">
        <w:r w:rsidRPr="00762171">
          <w:rPr>
            <w:rStyle w:val="Hyperlink"/>
            <w:b/>
            <w:bCs/>
          </w:rPr>
          <w:t>Contribuição para o PIS/PASEP e COFINS</w:t>
        </w:r>
      </w:hyperlink>
      <w:r w:rsidRPr="00762171">
        <w:br/>
        <w:t> </w:t>
      </w:r>
    </w:p>
    <w:p w14:paraId="3F3C46C7" w14:textId="77777777" w:rsidR="00762171" w:rsidRPr="00762171" w:rsidRDefault="00762171" w:rsidP="00762171">
      <w:pPr>
        <w:numPr>
          <w:ilvl w:val="0"/>
          <w:numId w:val="22"/>
        </w:numPr>
      </w:pPr>
      <w:hyperlink r:id="rId11" w:history="1">
        <w:r w:rsidRPr="00762171">
          <w:rPr>
            <w:rStyle w:val="Hyperlink"/>
            <w:b/>
            <w:bCs/>
          </w:rPr>
          <w:t>Adicional de Frete para a Renovação da Marinha Mercante - AFRMM</w:t>
        </w:r>
      </w:hyperlink>
      <w:r w:rsidRPr="00762171">
        <w:br/>
        <w:t> </w:t>
      </w:r>
    </w:p>
    <w:p w14:paraId="06741D6F" w14:textId="77777777" w:rsidR="00762171" w:rsidRPr="00762171" w:rsidRDefault="00762171" w:rsidP="00762171">
      <w:pPr>
        <w:numPr>
          <w:ilvl w:val="0"/>
          <w:numId w:val="22"/>
        </w:numPr>
      </w:pPr>
      <w:hyperlink r:id="rId12" w:history="1">
        <w:r w:rsidRPr="00762171">
          <w:rPr>
            <w:rStyle w:val="Hyperlink"/>
            <w:b/>
            <w:bCs/>
          </w:rPr>
          <w:t>CIDE-Combustíveis</w:t>
        </w:r>
      </w:hyperlink>
      <w:r w:rsidRPr="00762171">
        <w:br/>
        <w:t> </w:t>
      </w:r>
    </w:p>
    <w:p w14:paraId="2F99D656" w14:textId="77777777" w:rsidR="00762171" w:rsidRPr="00762171" w:rsidRDefault="00762171" w:rsidP="00762171">
      <w:pPr>
        <w:numPr>
          <w:ilvl w:val="0"/>
          <w:numId w:val="22"/>
        </w:numPr>
      </w:pPr>
      <w:hyperlink r:id="rId13" w:history="1">
        <w:r w:rsidRPr="00762171">
          <w:rPr>
            <w:rStyle w:val="Hyperlink"/>
            <w:b/>
            <w:bCs/>
          </w:rPr>
          <w:t> Imposto sobre Circulação de Mercadorias e Serviços - ICMS</w:t>
        </w:r>
      </w:hyperlink>
      <w:r w:rsidRPr="00762171">
        <w:br/>
        <w:t> </w:t>
      </w:r>
    </w:p>
    <w:p w14:paraId="3BC05EC2" w14:textId="77777777" w:rsidR="00762171" w:rsidRPr="00762171" w:rsidRDefault="00762171" w:rsidP="00762171">
      <w:pPr>
        <w:numPr>
          <w:ilvl w:val="0"/>
          <w:numId w:val="22"/>
        </w:numPr>
      </w:pPr>
      <w:hyperlink r:id="rId14" w:history="1">
        <w:r w:rsidRPr="00762171">
          <w:rPr>
            <w:rStyle w:val="Hyperlink"/>
            <w:b/>
            <w:bCs/>
          </w:rPr>
          <w:t>Taxa de Utilização do Siscomex</w:t>
        </w:r>
      </w:hyperlink>
    </w:p>
    <w:p w14:paraId="5E00172F" w14:textId="29AE3531" w:rsidR="00762171" w:rsidRPr="00762171" w:rsidRDefault="00762171" w:rsidP="00762171">
      <w:r w:rsidRPr="00762171">
        <w:t xml:space="preserve">Para a base de cálculos dos impostos incidentes na importação, faz-se necessário conhecer o valor aduaneiro da mercadoria estrangeira. De acordo com o Regulamento Aduaneiro (Decreto No. 6.759, de 05 de fevereiro de 2009), toda mercadoria submetida a </w:t>
      </w:r>
      <w:r w:rsidRPr="00762171">
        <w:lastRenderedPageBreak/>
        <w:t>despacho aduaneiro de importação está sujeita ao controle do valor aduaneiro, de acordo com as regras esta</w:t>
      </w:r>
      <w:r>
        <w:t>be</w:t>
      </w:r>
      <w:r w:rsidRPr="00762171">
        <w:t>lecidas no</w:t>
      </w:r>
      <w:r w:rsidRPr="00762171">
        <w:rPr>
          <w:b/>
          <w:bCs/>
        </w:rPr>
        <w:t> </w:t>
      </w:r>
      <w:hyperlink r:id="rId15" w:history="1">
        <w:r w:rsidRPr="00762171">
          <w:rPr>
            <w:rStyle w:val="Hyperlink"/>
            <w:b/>
            <w:bCs/>
          </w:rPr>
          <w:t>Acordo Sobre Valoração Aduaneira do GATT</w:t>
        </w:r>
      </w:hyperlink>
      <w:r w:rsidRPr="00762171">
        <w:t>.</w:t>
      </w:r>
    </w:p>
    <w:p w14:paraId="15617747" w14:textId="77777777" w:rsidR="001C6100" w:rsidRDefault="001C6100" w:rsidP="00B15AED"/>
    <w:p w14:paraId="519585E1" w14:textId="388DFE3D" w:rsidR="00762171" w:rsidRPr="00762171" w:rsidRDefault="00762171" w:rsidP="00762171">
      <w:r w:rsidRPr="00762171">
        <w:t xml:space="preserve">Dentre os </w:t>
      </w:r>
      <w:r w:rsidRPr="00762171">
        <w:rPr>
          <w:b/>
          <w:bCs/>
        </w:rPr>
        <w:t>impostos federais</w:t>
      </w:r>
      <w:r w:rsidRPr="00762171">
        <w:t>:</w:t>
      </w:r>
    </w:p>
    <w:p w14:paraId="703DF768" w14:textId="77777777" w:rsidR="00762171" w:rsidRPr="00762171" w:rsidRDefault="00762171" w:rsidP="00762171">
      <w:pPr>
        <w:numPr>
          <w:ilvl w:val="0"/>
          <w:numId w:val="23"/>
        </w:numPr>
      </w:pPr>
      <w:r w:rsidRPr="00762171">
        <w:rPr>
          <w:b/>
          <w:bCs/>
        </w:rPr>
        <w:t>Imposto de Importação (II)</w:t>
      </w:r>
      <w:r w:rsidRPr="00762171">
        <w:t>;</w:t>
      </w:r>
    </w:p>
    <w:p w14:paraId="1449357D" w14:textId="77777777" w:rsidR="00762171" w:rsidRPr="00762171" w:rsidRDefault="00762171" w:rsidP="00762171">
      <w:pPr>
        <w:numPr>
          <w:ilvl w:val="0"/>
          <w:numId w:val="23"/>
        </w:numPr>
      </w:pPr>
      <w:r w:rsidRPr="00762171">
        <w:rPr>
          <w:b/>
          <w:bCs/>
        </w:rPr>
        <w:t>Imposto sobre Produtos Industrializados (IPI)</w:t>
      </w:r>
      <w:r w:rsidRPr="00762171">
        <w:t>;</w:t>
      </w:r>
    </w:p>
    <w:p w14:paraId="5795B4AE" w14:textId="77777777" w:rsidR="00762171" w:rsidRPr="00762171" w:rsidRDefault="00762171" w:rsidP="00762171">
      <w:pPr>
        <w:numPr>
          <w:ilvl w:val="0"/>
          <w:numId w:val="23"/>
        </w:numPr>
      </w:pPr>
      <w:r w:rsidRPr="00762171">
        <w:rPr>
          <w:b/>
          <w:bCs/>
        </w:rPr>
        <w:t>Programa de Integração Social (PIS)</w:t>
      </w:r>
      <w:r w:rsidRPr="00762171">
        <w:t>;</w:t>
      </w:r>
    </w:p>
    <w:p w14:paraId="254160DD" w14:textId="77777777" w:rsidR="00762171" w:rsidRPr="00762171" w:rsidRDefault="00762171" w:rsidP="00762171">
      <w:pPr>
        <w:numPr>
          <w:ilvl w:val="0"/>
          <w:numId w:val="23"/>
        </w:numPr>
      </w:pPr>
      <w:r w:rsidRPr="00762171">
        <w:rPr>
          <w:b/>
          <w:bCs/>
        </w:rPr>
        <w:t>Contribuição para o Financiamento da Seguridade Social (</w:t>
      </w:r>
      <w:proofErr w:type="spellStart"/>
      <w:r w:rsidRPr="00762171">
        <w:rPr>
          <w:b/>
          <w:bCs/>
        </w:rPr>
        <w:t>Cofins</w:t>
      </w:r>
      <w:proofErr w:type="spellEnd"/>
      <w:r w:rsidRPr="00762171">
        <w:rPr>
          <w:b/>
          <w:bCs/>
        </w:rPr>
        <w:t>)</w:t>
      </w:r>
      <w:r w:rsidRPr="00762171">
        <w:t>;</w:t>
      </w:r>
    </w:p>
    <w:p w14:paraId="582DB61B" w14:textId="77777777" w:rsidR="00762171" w:rsidRPr="00762171" w:rsidRDefault="00762171" w:rsidP="00762171">
      <w:pPr>
        <w:numPr>
          <w:ilvl w:val="0"/>
          <w:numId w:val="23"/>
        </w:numPr>
      </w:pPr>
      <w:r w:rsidRPr="00762171">
        <w:rPr>
          <w:b/>
          <w:bCs/>
        </w:rPr>
        <w:t>Imposto sobre Operações Financeiras (IOF)</w:t>
      </w:r>
      <w:r w:rsidRPr="00762171">
        <w:t>.</w:t>
      </w:r>
    </w:p>
    <w:p w14:paraId="6CB01002" w14:textId="69EE5C71" w:rsidR="00762171" w:rsidRPr="00762171" w:rsidRDefault="00762171" w:rsidP="00762171">
      <w:r w:rsidRPr="00762171">
        <w:t xml:space="preserve">Já quando </w:t>
      </w:r>
      <w:r>
        <w:t>quanto aos</w:t>
      </w:r>
      <w:r w:rsidRPr="00762171">
        <w:t xml:space="preserve"> </w:t>
      </w:r>
      <w:r w:rsidRPr="00762171">
        <w:rPr>
          <w:b/>
          <w:bCs/>
        </w:rPr>
        <w:t>impostos estaduais</w:t>
      </w:r>
      <w:r w:rsidRPr="00762171">
        <w:t xml:space="preserve">, destaca-se o </w:t>
      </w:r>
      <w:r w:rsidRPr="00762171">
        <w:rPr>
          <w:b/>
          <w:bCs/>
        </w:rPr>
        <w:t>Imposto sobre Circulação de Mercadorias e Serviços (ICMS)</w:t>
      </w:r>
      <w:r w:rsidRPr="00762171">
        <w:t>.</w:t>
      </w:r>
    </w:p>
    <w:p w14:paraId="396313A3" w14:textId="77777777" w:rsidR="00762171" w:rsidRDefault="00762171" w:rsidP="00762171">
      <w:r w:rsidRPr="00762171">
        <w:t xml:space="preserve">Por fim, no âmbito dos </w:t>
      </w:r>
      <w:r w:rsidRPr="00762171">
        <w:rPr>
          <w:b/>
          <w:bCs/>
        </w:rPr>
        <w:t>impostos municipais</w:t>
      </w:r>
      <w:r w:rsidRPr="00762171">
        <w:t xml:space="preserve">, há o </w:t>
      </w:r>
      <w:r w:rsidRPr="00762171">
        <w:rPr>
          <w:b/>
          <w:bCs/>
        </w:rPr>
        <w:t>Imposto sobre Serviços (ISS)</w:t>
      </w:r>
      <w:r w:rsidRPr="00762171">
        <w:t>, que pode incidir em algumas atividades relacionadas a transações de importação e exportação de serviços, dependendo da legislação aplicável.</w:t>
      </w:r>
    </w:p>
    <w:p w14:paraId="07BEFF1E" w14:textId="77777777" w:rsidR="00762171" w:rsidRDefault="00762171" w:rsidP="00762171"/>
    <w:p w14:paraId="55D7575B" w14:textId="4B6C33CB" w:rsidR="00762171" w:rsidRDefault="00762171" w:rsidP="00762171">
      <w:r w:rsidRPr="00762171">
        <w:t xml:space="preserve">Os tributos mencionados no texto não são idênticos aos tributos aduaneiros, como o Imposto de Importação (II) e o Imposto de Exportação (IE). Apesar de estarem relacionados à movimentação de mercadorias em âmbito internacional, eles possuem finalidades, sujeitos passivos e modalidades de lançamento tributário específicas. </w:t>
      </w:r>
    </w:p>
    <w:p w14:paraId="0DEADA33" w14:textId="53B0E430" w:rsidR="00762171" w:rsidRDefault="00762171" w:rsidP="00762171">
      <w:r w:rsidRPr="00762171">
        <w:t>O princípio da não-discriminação é um pilar fundamental em tratados internacionais de comércio, como o Acordo Geral sobre Tarifas e Comércio (GATT). Esse princípio estabelece que bens importados devem receber o mesmo tratamento tributário dos bens similares produzidos internamente no país de destino.</w:t>
      </w:r>
    </w:p>
    <w:p w14:paraId="15FE10FD" w14:textId="6E3F0EA2" w:rsidR="00762171" w:rsidRDefault="00762171" w:rsidP="00762171">
      <w:r>
        <w:t xml:space="preserve">O </w:t>
      </w:r>
      <w:r>
        <w:t>Princípio da Não-Discriminação</w:t>
      </w:r>
      <w:r>
        <w:t xml:space="preserve"> a</w:t>
      </w:r>
      <w:r>
        <w:t>plica-se para evitar tratamento desigual entre bens importados e similares nacionais, especialmente em tributos internos como ICMS e IPI, além do Imposto de Importação.</w:t>
      </w:r>
    </w:p>
    <w:p w14:paraId="55A8936C" w14:textId="40DD4D2A" w:rsidR="00762171" w:rsidRDefault="00762171" w:rsidP="00762171">
      <w:r>
        <w:t xml:space="preserve">Quanto a </w:t>
      </w:r>
      <w:r>
        <w:t>Modalidade de Lançamento</w:t>
      </w:r>
      <w:r>
        <w:t>, o</w:t>
      </w:r>
      <w:r>
        <w:t xml:space="preserve"> II e o IE seguem a modalidade de lançamento por homologação, onde o contribuinte calcula e recolhe o tributo.</w:t>
      </w:r>
    </w:p>
    <w:p w14:paraId="0FD4B79F" w14:textId="69BAB5A5" w:rsidR="00762171" w:rsidRPr="00762171" w:rsidRDefault="00762171" w:rsidP="00762171">
      <w:r>
        <w:t xml:space="preserve">O </w:t>
      </w:r>
      <w:r w:rsidRPr="00762171">
        <w:t>Sujeito Passivo</w:t>
      </w:r>
      <w:r>
        <w:t xml:space="preserve"> v</w:t>
      </w:r>
      <w:r w:rsidRPr="00762171">
        <w:t>aria de acordo com a operação:</w:t>
      </w:r>
    </w:p>
    <w:p w14:paraId="6E950528" w14:textId="77777777" w:rsidR="00762171" w:rsidRPr="00762171" w:rsidRDefault="00762171" w:rsidP="00762171">
      <w:pPr>
        <w:numPr>
          <w:ilvl w:val="0"/>
          <w:numId w:val="24"/>
        </w:numPr>
      </w:pPr>
      <w:r w:rsidRPr="00762171">
        <w:t>No II, é o importador (importação direta) ou o adquirente/encomendante final (importação por conta e ordem ou encomenda).</w:t>
      </w:r>
    </w:p>
    <w:p w14:paraId="65F3CAC9" w14:textId="77777777" w:rsidR="00762171" w:rsidRPr="00762171" w:rsidRDefault="00762171" w:rsidP="00762171">
      <w:pPr>
        <w:numPr>
          <w:ilvl w:val="0"/>
          <w:numId w:val="24"/>
        </w:numPr>
      </w:pPr>
      <w:r w:rsidRPr="00762171">
        <w:t>No IE, é o exportador que realiza a operação de saída.</w:t>
      </w:r>
    </w:p>
    <w:p w14:paraId="0B375598" w14:textId="77777777" w:rsidR="00762171" w:rsidRPr="00762171" w:rsidRDefault="00762171" w:rsidP="00762171"/>
    <w:p w14:paraId="7951495A" w14:textId="77777777" w:rsidR="00762171" w:rsidRPr="00C33F54" w:rsidRDefault="00762171" w:rsidP="00B15AED"/>
    <w:p w14:paraId="1CE3D65F" w14:textId="77777777" w:rsidR="00A55901" w:rsidRDefault="00A55901" w:rsidP="00B15AED"/>
    <w:p w14:paraId="76D1B1A1" w14:textId="77777777" w:rsidR="00A55901" w:rsidRDefault="00A55901" w:rsidP="00A5590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lastRenderedPageBreak/>
        <w:t>4. Que são os preços de transferência? Qual sua utilidade? Os métodos para apuração do</w:t>
      </w:r>
      <w:r>
        <w:t xml:space="preserve"> </w:t>
      </w:r>
      <w:r w:rsidRPr="00B15AED">
        <w:t>novo sistema de preços de transferência brasileiros são taxativos?</w:t>
      </w:r>
    </w:p>
    <w:p w14:paraId="29BDF0F5" w14:textId="77777777" w:rsidR="00A55901" w:rsidRDefault="00A55901" w:rsidP="00B15AED"/>
    <w:p w14:paraId="3DA844DA" w14:textId="77777777" w:rsidR="00A55901" w:rsidRPr="00A55901" w:rsidRDefault="00A55901" w:rsidP="00A55901">
      <w:pPr>
        <w:jc w:val="both"/>
      </w:pPr>
      <w:r w:rsidRPr="00A55901">
        <w:t>A expressão “preço de transferência” consiste na determinação do preço pelo qual uma empresa transfere bens ou fornece serviços à empresas a ela vinculadas, que se situem em locais com outras jurisdições tributárias ou em “paraísos fiscais” (países com tributação favorecida, nos termos do art. 24 da Lei nº 9.430/96).</w:t>
      </w:r>
    </w:p>
    <w:p w14:paraId="7B66426F" w14:textId="77777777" w:rsidR="00A55901" w:rsidRPr="00A55901" w:rsidRDefault="00A55901" w:rsidP="00A55901">
      <w:pPr>
        <w:jc w:val="both"/>
      </w:pPr>
      <w:r w:rsidRPr="00A55901">
        <w:t> </w:t>
      </w:r>
    </w:p>
    <w:p w14:paraId="1D0F9FC0" w14:textId="2E34FBB3" w:rsidR="00A55901" w:rsidRPr="00A55901" w:rsidRDefault="00A55901" w:rsidP="00A55901">
      <w:r w:rsidRPr="00A55901">
        <w:t xml:space="preserve">De acordo com a definição de Rodrigo </w:t>
      </w:r>
      <w:proofErr w:type="spellStart"/>
      <w:r w:rsidRPr="00A55901">
        <w:t>Maitto</w:t>
      </w:r>
      <w:proofErr w:type="spellEnd"/>
      <w:r w:rsidRPr="00A55901">
        <w:t xml:space="preserve"> da Silveira</w:t>
      </w:r>
      <w:r>
        <w:rPr>
          <w:rStyle w:val="Refdenotaderodap"/>
        </w:rPr>
        <w:footnoteReference w:id="7"/>
      </w:r>
      <w:r>
        <w:t>:</w:t>
      </w:r>
    </w:p>
    <w:p w14:paraId="6C2F5F3E" w14:textId="77777777" w:rsidR="00A55901" w:rsidRDefault="00A55901" w:rsidP="00B15AED"/>
    <w:p w14:paraId="4CC171BE" w14:textId="4C86BE2D" w:rsidR="00A55901" w:rsidRPr="00A55901" w:rsidRDefault="00A55901" w:rsidP="00A55901">
      <w:pPr>
        <w:ind w:left="2268" w:firstLine="142"/>
        <w:jc w:val="both"/>
        <w:rPr>
          <w:i/>
          <w:iCs/>
        </w:rPr>
      </w:pPr>
      <w:r w:rsidRPr="00A55901">
        <w:rPr>
          <w:i/>
          <w:iCs/>
        </w:rPr>
        <w:t>“Em princípio, é possível definir preço de transferência como sendo o valor de compra ou venda de bens e serviços comercializados entre unidades organizacionais situadas em diferentes países, ou, simplesmente, a expressão monetária de produtos e serviços entre unidades organizacionais de uma mesma empresa, localizadas em países distintos.</w:t>
      </w:r>
      <w:r>
        <w:rPr>
          <w:i/>
          <w:iCs/>
        </w:rPr>
        <w:t xml:space="preserve"> </w:t>
      </w:r>
      <w:r w:rsidRPr="00A55901">
        <w:rPr>
          <w:i/>
          <w:iCs/>
        </w:rPr>
        <w:t>Em outras palavras, entende-se por transferência de preços o acréscimo para mais ou para menos do preço normal de mercado, de mercadorias que a matriz exporte para a filial, ou que esta última envie para aquela.”</w:t>
      </w:r>
    </w:p>
    <w:p w14:paraId="0F12E839" w14:textId="77777777" w:rsidR="00A55901" w:rsidRDefault="00A55901" w:rsidP="00A55901">
      <w:pPr>
        <w:jc w:val="both"/>
      </w:pPr>
    </w:p>
    <w:p w14:paraId="480F6196" w14:textId="77777777" w:rsidR="00A55901" w:rsidRPr="00A55901" w:rsidRDefault="00A55901" w:rsidP="00A55901">
      <w:pPr>
        <w:jc w:val="both"/>
      </w:pPr>
      <w:r w:rsidRPr="00A55901">
        <w:t>A terminologia adotada atualmente na prática mundial é a da expressão inglesa: “</w:t>
      </w:r>
      <w:proofErr w:type="spellStart"/>
      <w:r w:rsidRPr="00A55901">
        <w:t>transfer</w:t>
      </w:r>
      <w:proofErr w:type="spellEnd"/>
      <w:r w:rsidRPr="00A55901">
        <w:t xml:space="preserve"> </w:t>
      </w:r>
      <w:proofErr w:type="spellStart"/>
      <w:r w:rsidRPr="00A55901">
        <w:t>pricing</w:t>
      </w:r>
      <w:proofErr w:type="spellEnd"/>
      <w:r w:rsidRPr="00A55901">
        <w:t>”.</w:t>
      </w:r>
    </w:p>
    <w:p w14:paraId="111F9C33" w14:textId="77777777" w:rsidR="00A55901" w:rsidRPr="00A55901" w:rsidRDefault="00A55901" w:rsidP="00A55901">
      <w:pPr>
        <w:jc w:val="both"/>
      </w:pPr>
      <w:r w:rsidRPr="00A55901">
        <w:t> </w:t>
      </w:r>
    </w:p>
    <w:p w14:paraId="04B808CD" w14:textId="77777777" w:rsidR="00A55901" w:rsidRPr="00A55901" w:rsidRDefault="00A55901" w:rsidP="00A55901">
      <w:pPr>
        <w:jc w:val="both"/>
      </w:pPr>
      <w:r w:rsidRPr="00A55901">
        <w:t xml:space="preserve">A origem do “preço de transferência” decorre da globalização e da consequente internacionalização dos fenômenos econômicos, que levaram as empresas a atuar em vários países – por meio de filiais, subsidiárias, agências </w:t>
      </w:r>
      <w:proofErr w:type="spellStart"/>
      <w:r w:rsidRPr="00A55901">
        <w:t>etc</w:t>
      </w:r>
      <w:proofErr w:type="spellEnd"/>
      <w:r w:rsidRPr="00A55901">
        <w:t xml:space="preserve"> -, o que gerou a necessidade empresarial de transferir entre suas várias unidades seus produtos, matéria prima, técnica, pessoal, métodos organizacionais, serviços, conhecimento etc.</w:t>
      </w:r>
    </w:p>
    <w:p w14:paraId="233663C3" w14:textId="77777777" w:rsidR="00A55901" w:rsidRPr="00A55901" w:rsidRDefault="00A55901" w:rsidP="00A55901">
      <w:pPr>
        <w:jc w:val="both"/>
      </w:pPr>
      <w:r w:rsidRPr="00A55901">
        <w:t> </w:t>
      </w:r>
    </w:p>
    <w:p w14:paraId="789DE7A9" w14:textId="77777777" w:rsidR="00A55901" w:rsidRPr="00A55901" w:rsidRDefault="00A55901" w:rsidP="00A55901">
      <w:pPr>
        <w:jc w:val="both"/>
      </w:pPr>
      <w:r w:rsidRPr="00A55901">
        <w:t>Desta forma, em virtude das peculiaridades oriundas das circunstâncias das operações que se realizam entre essas pessoas jurídicas relacionadas, o “preço de transferência” é estipulado de modo artificial, de modo que diverge do preço de mercado normalmente praticado entre empresas diferentes.</w:t>
      </w:r>
    </w:p>
    <w:p w14:paraId="5CCD2498" w14:textId="77777777" w:rsidR="00A55901" w:rsidRPr="00A55901" w:rsidRDefault="00A55901" w:rsidP="00A55901">
      <w:pPr>
        <w:jc w:val="both"/>
      </w:pPr>
      <w:r w:rsidRPr="00A55901">
        <w:t> </w:t>
      </w:r>
    </w:p>
    <w:p w14:paraId="4501D221" w14:textId="4B13F6BC" w:rsidR="00A55901" w:rsidRDefault="00A55901" w:rsidP="00A55901">
      <w:pPr>
        <w:jc w:val="both"/>
      </w:pPr>
      <w:r w:rsidRPr="00A55901">
        <w:t xml:space="preserve">Ainda seguindo a lição de Rodrigo </w:t>
      </w:r>
      <w:proofErr w:type="spellStart"/>
      <w:r w:rsidRPr="00A55901">
        <w:t>Maitto</w:t>
      </w:r>
      <w:proofErr w:type="spellEnd"/>
      <w:r w:rsidRPr="00A55901">
        <w:t xml:space="preserve"> da Silveira</w:t>
      </w:r>
      <w:r>
        <w:rPr>
          <w:rStyle w:val="Refdenotaderodap"/>
        </w:rPr>
        <w:footnoteReference w:id="8"/>
      </w:r>
      <w:r>
        <w:t>:</w:t>
      </w:r>
    </w:p>
    <w:p w14:paraId="6D3DE54C" w14:textId="77777777" w:rsidR="00A55901" w:rsidRDefault="00A55901" w:rsidP="00A55901">
      <w:pPr>
        <w:jc w:val="both"/>
      </w:pPr>
    </w:p>
    <w:p w14:paraId="4A8A6EB5" w14:textId="77777777" w:rsidR="00A55901" w:rsidRPr="00A55901" w:rsidRDefault="00A55901" w:rsidP="00A55901">
      <w:pPr>
        <w:ind w:left="2268"/>
        <w:jc w:val="both"/>
        <w:rPr>
          <w:i/>
          <w:iCs/>
        </w:rPr>
      </w:pPr>
      <w:r w:rsidRPr="00A55901">
        <w:rPr>
          <w:i/>
          <w:iCs/>
        </w:rPr>
        <w:t xml:space="preserve">“(…) de forma mais precisa, Luís Eduardo </w:t>
      </w:r>
      <w:proofErr w:type="spellStart"/>
      <w:r w:rsidRPr="00A55901">
        <w:rPr>
          <w:i/>
          <w:iCs/>
        </w:rPr>
        <w:t>Schoueri</w:t>
      </w:r>
      <w:proofErr w:type="spellEnd"/>
      <w:r w:rsidRPr="00A55901">
        <w:rPr>
          <w:i/>
          <w:iCs/>
        </w:rPr>
        <w:t xml:space="preserve"> conclui, apoiando-se na doutrina internacional, que preço de transferência é “o valor cobrado por uma empresa na venda ou transferência de bens, serviços ou propriedade intangível, a empresa a ela relacionada”, ressalvando que, por se tratarem de preços que não foram negociados em um mercado livre e aberto, “podem eles desviar-se daqueles que teriam sido acertados entre parceiros comerciais não relacionados, em transações comparáveis nas mesmas circunstâncias.”</w:t>
      </w:r>
    </w:p>
    <w:p w14:paraId="6036716B" w14:textId="77777777" w:rsidR="00A55901" w:rsidRDefault="00A55901" w:rsidP="00A55901">
      <w:pPr>
        <w:jc w:val="both"/>
      </w:pPr>
    </w:p>
    <w:p w14:paraId="7A8EF4E1" w14:textId="77777777" w:rsidR="00A55901" w:rsidRDefault="00A55901" w:rsidP="00A55901">
      <w:pPr>
        <w:jc w:val="both"/>
      </w:pPr>
    </w:p>
    <w:p w14:paraId="4D218353" w14:textId="77777777" w:rsidR="00A55901" w:rsidRPr="00A55901" w:rsidRDefault="00A55901" w:rsidP="00A55901">
      <w:pPr>
        <w:jc w:val="both"/>
      </w:pPr>
      <w:r w:rsidRPr="00A55901">
        <w:t>A função do “preço de transferência” para as empresas é controlar as operações comerciais e/ou financeiras realizadas entre partes relacionadas, sediadas em jurisdições tributárias diversas.</w:t>
      </w:r>
    </w:p>
    <w:p w14:paraId="19B7E44A" w14:textId="77777777" w:rsidR="00A55901" w:rsidRPr="00A55901" w:rsidRDefault="00A55901" w:rsidP="00A55901">
      <w:pPr>
        <w:jc w:val="both"/>
      </w:pPr>
      <w:r w:rsidRPr="00A55901">
        <w:t> </w:t>
      </w:r>
    </w:p>
    <w:p w14:paraId="3EBDBC41" w14:textId="7035325B" w:rsidR="00A55901" w:rsidRDefault="00A55901" w:rsidP="00A55901">
      <w:pPr>
        <w:jc w:val="both"/>
      </w:pPr>
      <w:r w:rsidRPr="00A55901">
        <w:t xml:space="preserve">Neste sentido, afirma Heleno </w:t>
      </w:r>
      <w:proofErr w:type="spellStart"/>
      <w:r w:rsidRPr="00A55901">
        <w:t>Tôrres</w:t>
      </w:r>
      <w:proofErr w:type="spellEnd"/>
      <w:r>
        <w:rPr>
          <w:rStyle w:val="Refdenotaderodap"/>
        </w:rPr>
        <w:footnoteReference w:id="9"/>
      </w:r>
      <w:r w:rsidRPr="00A55901">
        <w:t xml:space="preserve"> (</w:t>
      </w:r>
      <w:r w:rsidRPr="00A55901">
        <w:rPr>
          <w:i/>
          <w:iCs/>
        </w:rPr>
        <w:t>apud</w:t>
      </w:r>
      <w:r w:rsidRPr="00A55901">
        <w:t xml:space="preserve"> Rodrigo </w:t>
      </w:r>
      <w:proofErr w:type="spellStart"/>
      <w:r w:rsidRPr="00A55901">
        <w:t>Maitto</w:t>
      </w:r>
      <w:proofErr w:type="spellEnd"/>
      <w:r w:rsidRPr="00A55901">
        <w:t xml:space="preserve"> da Silveira)</w:t>
      </w:r>
      <w:r>
        <w:t xml:space="preserve"> que:</w:t>
      </w:r>
    </w:p>
    <w:p w14:paraId="1177C01D" w14:textId="77777777" w:rsidR="00A55901" w:rsidRDefault="00A55901" w:rsidP="00A55901">
      <w:pPr>
        <w:jc w:val="both"/>
      </w:pPr>
    </w:p>
    <w:p w14:paraId="5DF3F3AC" w14:textId="77777777" w:rsidR="00A55901" w:rsidRPr="00A55901" w:rsidRDefault="00A55901" w:rsidP="00A55901">
      <w:pPr>
        <w:ind w:left="2268"/>
        <w:jc w:val="both"/>
        <w:rPr>
          <w:i/>
          <w:iCs/>
        </w:rPr>
      </w:pPr>
      <w:r w:rsidRPr="00A55901">
        <w:rPr>
          <w:i/>
          <w:iCs/>
        </w:rPr>
        <w:t>“(…) a transferência de preços pode servir como forma de alocação estratégica de receitas ou despesas, nas operações de venda de bens, prestação de serviços, transferência e uso de tecnologia e patentes, mútuos e outros, efetuadas entre pessoas interdependentes ou de qualquer modo relacionadas, situadas em diferentes jurisdições tributárias, e em condições divergentes das que seriam pactuadas com empresas independentes, visando, no mais das vezes, reduzir a tributação geral da empresa”.</w:t>
      </w:r>
    </w:p>
    <w:p w14:paraId="59C929DF" w14:textId="77777777" w:rsidR="00A55901" w:rsidRDefault="00A55901" w:rsidP="00A55901">
      <w:pPr>
        <w:jc w:val="both"/>
      </w:pPr>
    </w:p>
    <w:p w14:paraId="71C40571" w14:textId="143E9450" w:rsidR="00A55901" w:rsidRPr="00A55901" w:rsidRDefault="00A55901" w:rsidP="00A55901">
      <w:pPr>
        <w:jc w:val="both"/>
      </w:pPr>
      <w:r w:rsidRPr="00A55901">
        <w:t xml:space="preserve">Como função do “preço de transferência”, Rodrigo </w:t>
      </w:r>
      <w:proofErr w:type="spellStart"/>
      <w:r w:rsidRPr="00A55901">
        <w:t>Maitto</w:t>
      </w:r>
      <w:proofErr w:type="spellEnd"/>
      <w:r w:rsidRPr="00A55901">
        <w:t xml:space="preserve"> da Silveira</w:t>
      </w:r>
      <w:r>
        <w:rPr>
          <w:rStyle w:val="Refdenotaderodap"/>
        </w:rPr>
        <w:footnoteReference w:id="10"/>
      </w:r>
      <w:r w:rsidRPr="00A55901">
        <w:t xml:space="preserve"> ainda menciona que, segundo Clive Emmanuel e </w:t>
      </w:r>
      <w:proofErr w:type="spellStart"/>
      <w:r w:rsidRPr="00A55901">
        <w:t>Messaoud</w:t>
      </w:r>
      <w:proofErr w:type="spellEnd"/>
      <w:r w:rsidRPr="00A55901">
        <w:t xml:space="preserve"> </w:t>
      </w:r>
      <w:proofErr w:type="spellStart"/>
      <w:r w:rsidRPr="00A55901">
        <w:t>Mehafid</w:t>
      </w:r>
      <w:proofErr w:type="spellEnd"/>
      <w:r w:rsidRPr="00A55901">
        <w:t>, na perspectiva empresarial, além da razão meramente tributária, há várias razões de natureza administrativa e gerencial que levam as empresas a adotarem políticas de “preços de transferência”. Tais razões podem ser, </w:t>
      </w:r>
      <w:r w:rsidRPr="00A55901">
        <w:rPr>
          <w:i/>
          <w:iCs/>
        </w:rPr>
        <w:t>verbi gratia</w:t>
      </w:r>
      <w:r w:rsidRPr="00A55901">
        <w:t>, as seguintes:</w:t>
      </w:r>
    </w:p>
    <w:p w14:paraId="17608CA3" w14:textId="77777777" w:rsidR="00A55901" w:rsidRDefault="00A55901" w:rsidP="00A55901">
      <w:pPr>
        <w:jc w:val="both"/>
      </w:pPr>
    </w:p>
    <w:p w14:paraId="76706A35" w14:textId="77777777" w:rsidR="00A55901" w:rsidRPr="00A55901" w:rsidRDefault="00A55901" w:rsidP="00A55901">
      <w:pPr>
        <w:ind w:left="2268"/>
        <w:jc w:val="both"/>
        <w:rPr>
          <w:i/>
          <w:iCs/>
        </w:rPr>
      </w:pPr>
      <w:r w:rsidRPr="00A55901">
        <w:rPr>
          <w:i/>
          <w:iCs/>
        </w:rPr>
        <w:t xml:space="preserve">“a) concentração centralizada de caixa; b) minimização da carga fiscal global, incluindo impostos aduaneiros e agregados; c) redução da exposição aos riscos da inflação e flutuações de taxas de câmbio; d) evasão de restrições de repatriamento de dividendos; e) melhoria da vantagem competitiva através de financiamentos baratos; f) administração de joint ventures </w:t>
      </w:r>
      <w:r w:rsidRPr="00A55901">
        <w:rPr>
          <w:i/>
          <w:iCs/>
        </w:rPr>
        <w:lastRenderedPageBreak/>
        <w:t>(associações) envolvendo sócios estrangeiros; g) manutenção de um bom relacionamento com o país-hóspede e com o público em geral; h) provisão para medidas de mensuração de desempenho para diversos segmentos de um negócio”.</w:t>
      </w:r>
    </w:p>
    <w:p w14:paraId="38259BC9" w14:textId="77777777" w:rsidR="00A55901" w:rsidRPr="00A55901" w:rsidRDefault="00A55901" w:rsidP="00A55901">
      <w:pPr>
        <w:jc w:val="both"/>
      </w:pPr>
    </w:p>
    <w:p w14:paraId="7433D6C7" w14:textId="77777777" w:rsidR="00FD636D" w:rsidRPr="00FD636D" w:rsidRDefault="00FD636D" w:rsidP="00FD636D">
      <w:pPr>
        <w:jc w:val="both"/>
        <w:rPr>
          <w:b/>
          <w:bCs/>
        </w:rPr>
      </w:pPr>
      <w:r w:rsidRPr="00FD636D">
        <w:rPr>
          <w:b/>
          <w:bCs/>
        </w:rPr>
        <w:t>Importância Tributária</w:t>
      </w:r>
    </w:p>
    <w:p w14:paraId="03C380C4" w14:textId="77777777" w:rsidR="00FD636D" w:rsidRDefault="00FD636D" w:rsidP="00FD636D">
      <w:pPr>
        <w:jc w:val="both"/>
      </w:pPr>
      <w:r w:rsidRPr="00FD636D">
        <w:t>Por estarem em diferentes jurisdições tributárias, as empresas podem usar os preços de transferência para minimizar custos fiscais, evitando tributações mais altas. Contudo, essa prática é regulada em muitos países para evitar abusos e assegurar que as transações sejam realizadas com base no princípio do "</w:t>
      </w:r>
      <w:proofErr w:type="spellStart"/>
      <w:r w:rsidRPr="00FD636D">
        <w:t>arm’s</w:t>
      </w:r>
      <w:proofErr w:type="spellEnd"/>
      <w:r w:rsidRPr="00FD636D">
        <w:t xml:space="preserve"> </w:t>
      </w:r>
      <w:proofErr w:type="spellStart"/>
      <w:r w:rsidRPr="00FD636D">
        <w:t>length</w:t>
      </w:r>
      <w:proofErr w:type="spellEnd"/>
      <w:r w:rsidRPr="00FD636D">
        <w:t>" (preço justo de mercado).</w:t>
      </w:r>
    </w:p>
    <w:p w14:paraId="457D1207" w14:textId="77777777" w:rsidR="00FD636D" w:rsidRPr="00FD636D" w:rsidRDefault="00FD636D" w:rsidP="00FD636D">
      <w:pPr>
        <w:jc w:val="both"/>
      </w:pPr>
    </w:p>
    <w:p w14:paraId="7E2F850A" w14:textId="77777777" w:rsidR="00FD636D" w:rsidRPr="00FD636D" w:rsidRDefault="00FD636D" w:rsidP="00FD636D">
      <w:pPr>
        <w:jc w:val="both"/>
        <w:rPr>
          <w:b/>
          <w:bCs/>
        </w:rPr>
      </w:pPr>
      <w:r w:rsidRPr="00FD636D">
        <w:rPr>
          <w:b/>
          <w:bCs/>
        </w:rPr>
        <w:t>Funções Adicionais</w:t>
      </w:r>
    </w:p>
    <w:p w14:paraId="000FC66D" w14:textId="77777777" w:rsidR="00FD636D" w:rsidRPr="00FD636D" w:rsidRDefault="00FD636D" w:rsidP="00FD636D">
      <w:pPr>
        <w:jc w:val="both"/>
      </w:pPr>
      <w:r w:rsidRPr="00FD636D">
        <w:t>Além da finalidade tributária, os preços de transferência podem ser usados para:</w:t>
      </w:r>
    </w:p>
    <w:p w14:paraId="783BE563" w14:textId="77777777" w:rsidR="00FD636D" w:rsidRPr="00FD636D" w:rsidRDefault="00FD636D" w:rsidP="00FD636D">
      <w:pPr>
        <w:numPr>
          <w:ilvl w:val="0"/>
          <w:numId w:val="1"/>
        </w:numPr>
        <w:jc w:val="both"/>
      </w:pPr>
      <w:r w:rsidRPr="00FD636D">
        <w:t>Medir o desempenho de segmentos internos.</w:t>
      </w:r>
    </w:p>
    <w:p w14:paraId="2CDC0419" w14:textId="77777777" w:rsidR="00FD636D" w:rsidRPr="00FD636D" w:rsidRDefault="00FD636D" w:rsidP="00FD636D">
      <w:pPr>
        <w:numPr>
          <w:ilvl w:val="0"/>
          <w:numId w:val="1"/>
        </w:numPr>
        <w:jc w:val="both"/>
      </w:pPr>
      <w:r w:rsidRPr="00FD636D">
        <w:t>Gerir joint ventures com sócios estrangeiros.</w:t>
      </w:r>
    </w:p>
    <w:p w14:paraId="0F960163" w14:textId="77777777" w:rsidR="00FD636D" w:rsidRPr="00FD636D" w:rsidRDefault="00FD636D" w:rsidP="00FD636D">
      <w:pPr>
        <w:numPr>
          <w:ilvl w:val="0"/>
          <w:numId w:val="1"/>
        </w:numPr>
        <w:jc w:val="both"/>
      </w:pPr>
      <w:r w:rsidRPr="00FD636D">
        <w:t>Melhorar a competitividade global.</w:t>
      </w:r>
    </w:p>
    <w:p w14:paraId="08BFDF53" w14:textId="77777777" w:rsidR="00FD636D" w:rsidRPr="00FD636D" w:rsidRDefault="00FD636D" w:rsidP="00FD636D">
      <w:pPr>
        <w:jc w:val="both"/>
      </w:pPr>
      <w:r w:rsidRPr="00FD636D">
        <w:t>Em síntese, os preços de transferência desempenham um papel estratégico para empresas multinacionais, tanto na redução de custos como na otimização de recursos em um cenário de mercados globais integrados.</w:t>
      </w:r>
    </w:p>
    <w:p w14:paraId="4C40D59C" w14:textId="77777777" w:rsidR="00A55901" w:rsidRDefault="00A55901" w:rsidP="00A55901">
      <w:pPr>
        <w:jc w:val="both"/>
      </w:pPr>
    </w:p>
    <w:p w14:paraId="40E88BEB" w14:textId="38254B42" w:rsidR="00D235A2" w:rsidRPr="00D235A2" w:rsidRDefault="00D235A2" w:rsidP="00D235A2">
      <w:r>
        <w:t>Desta forma, o</w:t>
      </w:r>
      <w:r w:rsidRPr="00D235A2">
        <w:t>s preços de transferência têm diversas utilidades, especialmente para empresas multinacionais que operam em diferentes jurisdições tributárias. Suas principais funções incluem:</w:t>
      </w:r>
    </w:p>
    <w:p w14:paraId="344C9083" w14:textId="77777777" w:rsidR="00D235A2" w:rsidRPr="00D235A2" w:rsidRDefault="00D235A2" w:rsidP="00D235A2">
      <w:pPr>
        <w:numPr>
          <w:ilvl w:val="0"/>
          <w:numId w:val="2"/>
        </w:numPr>
      </w:pPr>
      <w:r w:rsidRPr="00D235A2">
        <w:rPr>
          <w:b/>
          <w:bCs/>
        </w:rPr>
        <w:t>Controle Tributário</w:t>
      </w:r>
      <w:r w:rsidRPr="00D235A2">
        <w:t>: Permitem a alocação estratégica de receitas e despesas entre países, ajudando a reduzir a carga tributária global, incluindo impostos sobre lucros, aduaneiros e outros.</w:t>
      </w:r>
    </w:p>
    <w:p w14:paraId="7850B8C5" w14:textId="77777777" w:rsidR="00D235A2" w:rsidRPr="00D235A2" w:rsidRDefault="00D235A2" w:rsidP="00D235A2">
      <w:pPr>
        <w:numPr>
          <w:ilvl w:val="0"/>
          <w:numId w:val="2"/>
        </w:numPr>
      </w:pPr>
      <w:r w:rsidRPr="00D235A2">
        <w:rPr>
          <w:b/>
          <w:bCs/>
        </w:rPr>
        <w:t>Gestão Financeira</w:t>
      </w:r>
      <w:r w:rsidRPr="00D235A2">
        <w:t>: Facilitam a concentração centralizada de caixa, redução da exposição a riscos cambiais e inflacionários, e otimização de recursos financeiros.</w:t>
      </w:r>
    </w:p>
    <w:p w14:paraId="4BCD4CD6" w14:textId="77777777" w:rsidR="00D235A2" w:rsidRPr="00D235A2" w:rsidRDefault="00D235A2" w:rsidP="00D235A2">
      <w:pPr>
        <w:numPr>
          <w:ilvl w:val="0"/>
          <w:numId w:val="2"/>
        </w:numPr>
      </w:pPr>
      <w:r w:rsidRPr="00D235A2">
        <w:rPr>
          <w:b/>
          <w:bCs/>
        </w:rPr>
        <w:t>Competitividade</w:t>
      </w:r>
      <w:r w:rsidRPr="00D235A2">
        <w:t>: Podem melhorar a vantagem competitiva ao reduzir custos com financiamentos e atender às exigências fiscais locais.</w:t>
      </w:r>
    </w:p>
    <w:p w14:paraId="1E097D8B" w14:textId="77777777" w:rsidR="00D235A2" w:rsidRPr="00D235A2" w:rsidRDefault="00D235A2" w:rsidP="00D235A2">
      <w:pPr>
        <w:numPr>
          <w:ilvl w:val="0"/>
          <w:numId w:val="2"/>
        </w:numPr>
      </w:pPr>
      <w:r w:rsidRPr="00D235A2">
        <w:rPr>
          <w:b/>
          <w:bCs/>
        </w:rPr>
        <w:t>Medição de Desempenho</w:t>
      </w:r>
      <w:r w:rsidRPr="00D235A2">
        <w:t>: Servem para avaliar a eficiência de segmentos ou unidades de negócio localizadas em diferentes países.</w:t>
      </w:r>
    </w:p>
    <w:p w14:paraId="6D220221" w14:textId="77777777" w:rsidR="00D235A2" w:rsidRPr="00D235A2" w:rsidRDefault="00D235A2" w:rsidP="00D235A2">
      <w:pPr>
        <w:numPr>
          <w:ilvl w:val="0"/>
          <w:numId w:val="2"/>
        </w:numPr>
      </w:pPr>
      <w:r w:rsidRPr="00D235A2">
        <w:rPr>
          <w:b/>
          <w:bCs/>
        </w:rPr>
        <w:t>Cumprimento Legal</w:t>
      </w:r>
      <w:r w:rsidRPr="00D235A2">
        <w:t>: Ajudam a evitar problemas com órgãos fiscais e regulatórios por meio da correta declaração de operações entre empresas relacionadas.</w:t>
      </w:r>
    </w:p>
    <w:p w14:paraId="4CB89483" w14:textId="77777777" w:rsidR="00D235A2" w:rsidRPr="00D235A2" w:rsidRDefault="00D235A2" w:rsidP="00D235A2">
      <w:pPr>
        <w:numPr>
          <w:ilvl w:val="0"/>
          <w:numId w:val="2"/>
        </w:numPr>
      </w:pPr>
      <w:r w:rsidRPr="00D235A2">
        <w:rPr>
          <w:b/>
          <w:bCs/>
        </w:rPr>
        <w:t>Flexibilidade Operacional</w:t>
      </w:r>
      <w:r w:rsidRPr="00D235A2">
        <w:t>: Facilitam o fluxo de bens, serviços, tecnologia e outros ativos dentro do grupo empresarial, respeitando as regulamentações locais.</w:t>
      </w:r>
    </w:p>
    <w:p w14:paraId="01E92DFE" w14:textId="60264E6A" w:rsidR="00A55901" w:rsidRDefault="00A55901" w:rsidP="00B15AED"/>
    <w:p w14:paraId="62A58C4E" w14:textId="125EBD54" w:rsidR="00D235A2" w:rsidRDefault="00D235A2" w:rsidP="00D235A2">
      <w:pPr>
        <w:jc w:val="both"/>
      </w:pPr>
      <w:r>
        <w:t>O</w:t>
      </w:r>
      <w:r w:rsidRPr="00D235A2">
        <w:t xml:space="preserve">s </w:t>
      </w:r>
      <w:r w:rsidRPr="00D235A2">
        <w:rPr>
          <w:b/>
          <w:bCs/>
        </w:rPr>
        <w:t>métodos para apuração dos preços de transferência no Brasil são taxativos</w:t>
      </w:r>
      <w:r w:rsidRPr="00D235A2">
        <w:t>, conforme estabelecido pela legislação tributária brasileira, notadamente pela Lei nº 9.430/96 e suas atualizações. Isso significa que a legislação define quais métodos podem ser utilizados, e as empresas devem escolher e aplicar um deles obrigatoriamente, conforme o tipo de transação e os critérios estabelecidos.</w:t>
      </w:r>
    </w:p>
    <w:p w14:paraId="13915E0E" w14:textId="77777777" w:rsidR="00D235A2" w:rsidRDefault="00D235A2" w:rsidP="00D235A2">
      <w:pPr>
        <w:jc w:val="both"/>
      </w:pPr>
    </w:p>
    <w:p w14:paraId="737B8E2C" w14:textId="77777777" w:rsidR="00D235A2" w:rsidRDefault="00D235A2" w:rsidP="00D235A2">
      <w:pPr>
        <w:jc w:val="both"/>
      </w:pPr>
    </w:p>
    <w:p w14:paraId="2CA3DB54" w14:textId="77777777" w:rsidR="00D235A2" w:rsidRDefault="00D235A2" w:rsidP="00D235A2">
      <w:pPr>
        <w:jc w:val="both"/>
      </w:pPr>
    </w:p>
    <w:p w14:paraId="219956E6" w14:textId="77777777" w:rsidR="00D235A2" w:rsidRDefault="00D235A2" w:rsidP="00D235A2">
      <w:pPr>
        <w:jc w:val="both"/>
      </w:pPr>
    </w:p>
    <w:p w14:paraId="407FCF83" w14:textId="77777777" w:rsidR="00D235A2" w:rsidRDefault="00D235A2" w:rsidP="00D235A2">
      <w:pPr>
        <w:jc w:val="both"/>
      </w:pPr>
    </w:p>
    <w:p w14:paraId="3C0B23C2" w14:textId="77777777" w:rsidR="00A55901" w:rsidRDefault="00A55901" w:rsidP="00B15AED"/>
    <w:p w14:paraId="4977DD71" w14:textId="3898F801" w:rsidR="00B15AED" w:rsidRPr="00B15AED" w:rsidRDefault="00B15AED" w:rsidP="00B15AED">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t>5. Diferencie os conceitos de “universalidade” e “territorialidade”, abordando a opção</w:t>
      </w:r>
      <w:r>
        <w:t xml:space="preserve"> </w:t>
      </w:r>
      <w:r w:rsidRPr="00B15AED">
        <w:t>escolhida pelo legislador nacional relativamente à tributação das pessoas jurídicas.</w:t>
      </w:r>
      <w:r>
        <w:t xml:space="preserve"> </w:t>
      </w:r>
      <w:r w:rsidRPr="00B15AED">
        <w:t>Como funciona a tributação do IR sobre investimento realizado no exterior diretamente</w:t>
      </w:r>
      <w:r>
        <w:t xml:space="preserve"> </w:t>
      </w:r>
      <w:r w:rsidRPr="00B15AED">
        <w:t>por pessoa física residente no Brasil? A instituição da tributação em bases mundiais,</w:t>
      </w:r>
      <w:r>
        <w:t xml:space="preserve"> </w:t>
      </w:r>
      <w:r w:rsidRPr="00B15AED">
        <w:t>pela Lei 9.249/95, sobre os lucros, rendimentos e ganhos de capital, auferidos no</w:t>
      </w:r>
      <w:r>
        <w:t xml:space="preserve"> </w:t>
      </w:r>
      <w:r w:rsidRPr="00B15AED">
        <w:t>exterior por pessoas jurídicas residentes no Brasil, afronta a soberania e o princípio da</w:t>
      </w:r>
      <w:r>
        <w:t xml:space="preserve"> </w:t>
      </w:r>
      <w:r w:rsidRPr="00B15AED">
        <w:t>territorialidade tributária? A aplicação de eventual norma tributária internacional,</w:t>
      </w:r>
      <w:r>
        <w:t xml:space="preserve"> </w:t>
      </w:r>
      <w:r w:rsidRPr="00B15AED">
        <w:t>oriunda de tratado para evitar a dupla tributação, pode obstaculizar a aplicação da</w:t>
      </w:r>
      <w:r>
        <w:t xml:space="preserve"> </w:t>
      </w:r>
      <w:r w:rsidRPr="00B15AED">
        <w:t>tributação em bases mundiais?</w:t>
      </w:r>
    </w:p>
    <w:p w14:paraId="4284E5A2" w14:textId="77777777" w:rsidR="00B15AED" w:rsidRDefault="00B15AED" w:rsidP="00B15AED"/>
    <w:p w14:paraId="48332270" w14:textId="06C0CCB3" w:rsidR="00D235A2" w:rsidRDefault="00D235A2" w:rsidP="00B15AED">
      <w:r>
        <w:t xml:space="preserve">Conforme </w:t>
      </w:r>
      <w:r w:rsidRPr="00D235A2">
        <w:t xml:space="preserve">Luís Eduardo </w:t>
      </w:r>
      <w:proofErr w:type="spellStart"/>
      <w:r w:rsidRPr="00D235A2">
        <w:t>Schoueri</w:t>
      </w:r>
      <w:proofErr w:type="spellEnd"/>
      <w:r>
        <w:t xml:space="preserve"> e </w:t>
      </w:r>
      <w:r w:rsidRPr="00D235A2">
        <w:t>Roberto Codorniz Leite Pereira</w:t>
      </w:r>
      <w:r>
        <w:rPr>
          <w:rStyle w:val="Refdenotaderodap"/>
        </w:rPr>
        <w:footnoteReference w:id="11"/>
      </w:r>
      <w:r>
        <w:t>:</w:t>
      </w:r>
    </w:p>
    <w:p w14:paraId="6D22978C" w14:textId="221539CB" w:rsidR="00D235A2" w:rsidRDefault="00D235A2" w:rsidP="00D235A2">
      <w:pPr>
        <w:ind w:left="2268"/>
        <w:jc w:val="both"/>
      </w:pPr>
      <w:r>
        <w:t xml:space="preserve">(...) </w:t>
      </w:r>
      <w:r w:rsidRPr="00D235A2">
        <w:t>o critério da universalidade "requer que sejam considerados todos os — a</w:t>
      </w:r>
      <w:r>
        <w:t xml:space="preserve"> </w:t>
      </w:r>
      <w:r w:rsidRPr="00D235A2">
        <w:t>universalidade dos — fatores positivos e negativos que compõem o patrimônio no início e no final do período de apuração, bem como toda a universalidade de todos os fatores que</w:t>
      </w:r>
      <w:r>
        <w:t xml:space="preserve"> </w:t>
      </w:r>
      <w:r w:rsidRPr="00D235A2">
        <w:t>aumentam ou diminuem dentro desse período de tempo fixado pela lei</w:t>
      </w:r>
      <w:r>
        <w:t>”.</w:t>
      </w:r>
    </w:p>
    <w:p w14:paraId="600C4710" w14:textId="310CF7E5" w:rsidR="00D235A2" w:rsidRDefault="00D235A2" w:rsidP="00D235A2">
      <w:pPr>
        <w:ind w:left="2268"/>
        <w:jc w:val="both"/>
      </w:pPr>
      <w:r w:rsidRPr="00D235A2">
        <w:t xml:space="preserve">Quando se tem em mente a renda auferida no exterior pela pessoa física ou jurídica residente ou domiciliada no Brasil, tributá-la mediante o seu cômputo na universalidade dos fatores positivos e negativos observados em território nacional está em plena conformidade com o princípio da universalidade". Afinal, todos os fatores positivos, a despeito da sua origem, estarão sendo </w:t>
      </w:r>
      <w:r w:rsidRPr="00D235A2">
        <w:lastRenderedPageBreak/>
        <w:t>igualmente tratados e considerados para fins do cálculo do imposto devido</w:t>
      </w:r>
      <w:r>
        <w:t>.</w:t>
      </w:r>
    </w:p>
    <w:p w14:paraId="559DC64F" w14:textId="66AC411B" w:rsidR="00D235A2" w:rsidRDefault="00D235A2" w:rsidP="00D235A2">
      <w:pPr>
        <w:ind w:left="2268"/>
        <w:jc w:val="both"/>
      </w:pPr>
      <w:r w:rsidRPr="00D235A2">
        <w:t>No plano infraconstitucional, parece-nos estar fora de dúvida a possibilidade de tributação da renda oriunda do exterior, sobretudo após a inclusão dos §§ 1° e 2° ao art. 43 do Código Tributário Nacional (CTN) realizada por meio da Lei Complementar n° 104/01; ao passo em que o § 1° reafirmou a aplicação dos critérios da generalidade e da universalidade ao imposto incidente sobre a renda, o § 2° delegou ao legislador ordinário a tarefa de estabelecer as condições e o momento em que se dará a disponibilidade da renda auferida no exterior. Retornaremos a este último dispositivo, mais adiante.</w:t>
      </w:r>
    </w:p>
    <w:p w14:paraId="1FCE3DD3" w14:textId="3EABCECD" w:rsidR="00D235A2" w:rsidRDefault="00D235A2" w:rsidP="00D235A2">
      <w:pPr>
        <w:ind w:left="2268"/>
        <w:jc w:val="both"/>
      </w:pPr>
      <w:r w:rsidRPr="00D235A2">
        <w:t>Em verdade, a depender do entendimento que se adote a respeito da natureza jurídica do critério da universalidade, poder-se-ia dizer que um retorno à territorialidade seria inconstitucional, na ausência de alteração do texto constitucional mediante emenda. A nosso ver, no entanto, o fato de o dispositivo constitucional possibilitar ao legislador ordinário fixar as condições em que o princípio da universalidade será observado permite que haja o eventual retomo futuro à "territorialidade pura" — tal como vigente, e.g., para as pessoas jurídicas até a publicação da Lei n° 9.249/95 — sem que se incorra em qualquer vício de invalidade jurídica.</w:t>
      </w:r>
    </w:p>
    <w:p w14:paraId="3F489503" w14:textId="1A608F1D" w:rsidR="00D235A2" w:rsidRDefault="00D235A2" w:rsidP="00D235A2">
      <w:pPr>
        <w:ind w:left="2268"/>
        <w:jc w:val="both"/>
      </w:pPr>
      <w:r w:rsidRPr="00D235A2">
        <w:t>O debate acerca da escolha entre a universalidade ou a territorialidade, enquanto critérios norteadores da tributação da renda, deve ocorrer no âmbito da sua conveniência em termos de política tributária. Na doutrina estrangeira, o foco do debate está na neutralidade (ou eficiência) tributária. Há diversos pontos</w:t>
      </w:r>
      <w:r>
        <w:t xml:space="preserve"> </w:t>
      </w:r>
      <w:r w:rsidRPr="00D235A2">
        <w:t>de vista a partir dos quais a neutralidade pode ser concebida, sendo mais comum observá-la sob a perspectiva dos países importadores e exportadores de capital.</w:t>
      </w:r>
    </w:p>
    <w:p w14:paraId="44A71F85" w14:textId="5FF4635C" w:rsidR="00D235A2" w:rsidRPr="00D235A2" w:rsidRDefault="00D235A2" w:rsidP="00D235A2">
      <w:pPr>
        <w:jc w:val="both"/>
      </w:pPr>
      <w:r>
        <w:t>Portanto, o</w:t>
      </w:r>
      <w:r w:rsidRPr="00D235A2">
        <w:t xml:space="preserve"> critério da universalidade determina que</w:t>
      </w:r>
      <w:r>
        <w:t xml:space="preserve"> t</w:t>
      </w:r>
      <w:r w:rsidRPr="00D235A2">
        <w:t xml:space="preserve">odos os </w:t>
      </w:r>
      <w:r w:rsidRPr="00D235A2">
        <w:rPr>
          <w:b/>
          <w:bCs/>
        </w:rPr>
        <w:t>fatores positivos</w:t>
      </w:r>
      <w:r w:rsidRPr="00D235A2">
        <w:t xml:space="preserve"> (como rendimentos ou ganhos) e </w:t>
      </w:r>
      <w:r w:rsidRPr="00D235A2">
        <w:rPr>
          <w:b/>
          <w:bCs/>
        </w:rPr>
        <w:t>negativos</w:t>
      </w:r>
      <w:r w:rsidRPr="00D235A2">
        <w:t xml:space="preserve"> (como despesas ou perdas) que impactam o patrimônio de uma pessoa física ou jurídica devem ser considerados para o cálculo do imposto de renda, </w:t>
      </w:r>
      <w:r w:rsidRPr="00D235A2">
        <w:rPr>
          <w:b/>
          <w:bCs/>
        </w:rPr>
        <w:t>independentemente da origem</w:t>
      </w:r>
      <w:r w:rsidRPr="00D235A2">
        <w:t xml:space="preserve"> (nacional ou internacional).</w:t>
      </w:r>
    </w:p>
    <w:p w14:paraId="5A71077C" w14:textId="77777777" w:rsidR="00D235A2" w:rsidRPr="00D235A2" w:rsidRDefault="00D235A2" w:rsidP="00D235A2">
      <w:pPr>
        <w:jc w:val="both"/>
      </w:pPr>
      <w:r w:rsidRPr="00D235A2">
        <w:t>Isso significa que uma pessoa ou empresa residente no Brasil será tributada com base na soma total de sua renda, seja ela obtida dentro do país ou no exterior.</w:t>
      </w:r>
    </w:p>
    <w:p w14:paraId="58B0F5C3" w14:textId="77777777" w:rsidR="00D235A2" w:rsidRPr="00D235A2" w:rsidRDefault="00D235A2" w:rsidP="00D235A2">
      <w:pPr>
        <w:jc w:val="both"/>
      </w:pPr>
      <w:r w:rsidRPr="00D235A2">
        <w:t xml:space="preserve">A inclusão da renda auferida no exterior na base de cálculo do imposto de renda é considerada válida e constitucional, especialmente após as alterações realizadas pela </w:t>
      </w:r>
      <w:r w:rsidRPr="00D235A2">
        <w:rPr>
          <w:b/>
          <w:bCs/>
        </w:rPr>
        <w:t>Lei Complementar nº 104/2001</w:t>
      </w:r>
      <w:r w:rsidRPr="00D235A2">
        <w:t>, que inseriu os §§ 1º e 2º ao art. 43 do Código Tributário Nacional (CTN). Esses dispositivos reafirmam:</w:t>
      </w:r>
    </w:p>
    <w:p w14:paraId="17D11F72" w14:textId="77777777" w:rsidR="00D235A2" w:rsidRPr="00D235A2" w:rsidRDefault="00D235A2" w:rsidP="00D235A2">
      <w:pPr>
        <w:numPr>
          <w:ilvl w:val="0"/>
          <w:numId w:val="4"/>
        </w:numPr>
        <w:jc w:val="both"/>
      </w:pPr>
      <w:r w:rsidRPr="00D235A2">
        <w:rPr>
          <w:b/>
          <w:bCs/>
        </w:rPr>
        <w:t>§ 1º:</w:t>
      </w:r>
      <w:r w:rsidRPr="00D235A2">
        <w:t xml:space="preserve"> O critério da universalidade deve ser aplicado ao imposto de renda, garantindo que todos os rendimentos, independentemente da origem, sejam considerados.</w:t>
      </w:r>
    </w:p>
    <w:p w14:paraId="4CB01794" w14:textId="77777777" w:rsidR="00D235A2" w:rsidRPr="00D235A2" w:rsidRDefault="00D235A2" w:rsidP="00D235A2">
      <w:pPr>
        <w:numPr>
          <w:ilvl w:val="0"/>
          <w:numId w:val="4"/>
        </w:numPr>
        <w:jc w:val="both"/>
      </w:pPr>
      <w:r w:rsidRPr="00D235A2">
        <w:rPr>
          <w:b/>
          <w:bCs/>
        </w:rPr>
        <w:lastRenderedPageBreak/>
        <w:t>§ 2º:</w:t>
      </w:r>
      <w:r w:rsidRPr="00D235A2">
        <w:t xml:space="preserve"> O legislador ordinário pode estabelecer as condições e o momento em que a renda auferida no exterior será considerada disponível para tributação.</w:t>
      </w:r>
    </w:p>
    <w:p w14:paraId="1A856754" w14:textId="77777777" w:rsidR="00D235A2" w:rsidRPr="00D235A2" w:rsidRDefault="00D235A2" w:rsidP="00D235A2">
      <w:pPr>
        <w:jc w:val="both"/>
      </w:pPr>
      <w:r w:rsidRPr="00D235A2">
        <w:t xml:space="preserve">Portanto, o Brasil adota a </w:t>
      </w:r>
      <w:r w:rsidRPr="00D235A2">
        <w:rPr>
          <w:b/>
          <w:bCs/>
        </w:rPr>
        <w:t>universalidade como regra</w:t>
      </w:r>
      <w:r w:rsidRPr="00D235A2">
        <w:t xml:space="preserve"> na tributação da renda, especialmente para pessoas físicas e jurídicas residentes ou domiciliadas no país.</w:t>
      </w:r>
    </w:p>
    <w:p w14:paraId="05678CFE" w14:textId="3FD65EF9" w:rsidR="00D235A2" w:rsidRDefault="00D235A2" w:rsidP="00D235A2">
      <w:pPr>
        <w:jc w:val="both"/>
      </w:pPr>
      <w:r w:rsidRPr="00D235A2">
        <w:t xml:space="preserve">O critério da </w:t>
      </w:r>
      <w:r w:rsidRPr="00D235A2">
        <w:rPr>
          <w:b/>
          <w:bCs/>
          <w:u w:val="single"/>
        </w:rPr>
        <w:t>territorialidade</w:t>
      </w:r>
      <w:r w:rsidRPr="00D235A2">
        <w:t>, por sua vez, estabelece que</w:t>
      </w:r>
      <w:r>
        <w:t xml:space="preserve"> s</w:t>
      </w:r>
      <w:r w:rsidRPr="00D235A2">
        <w:t xml:space="preserve">omente a renda gerada </w:t>
      </w:r>
      <w:r w:rsidRPr="00D235A2">
        <w:rPr>
          <w:b/>
          <w:bCs/>
        </w:rPr>
        <w:t>dentro do território nacional</w:t>
      </w:r>
      <w:r w:rsidRPr="00D235A2">
        <w:t xml:space="preserve"> será tributada.</w:t>
      </w:r>
      <w:r>
        <w:t xml:space="preserve"> </w:t>
      </w:r>
      <w:r>
        <w:t>Antes da Lei nº 9.249/95, as empresas brasileiras só precisavam tributar os lucros gerados no Brasil. A renda obtida por filiais no exterior não era tributada.</w:t>
      </w:r>
      <w:r>
        <w:t xml:space="preserve"> </w:t>
      </w:r>
      <w:r>
        <w:t>O texto sugere que um retorno à "territorialidade pura" seria possível, mas exigiria alterações significativas na legislação, podendo ser visto como inconstitucional, já que o princípio da universalidade está enraizado no sistema constitucional tributário.</w:t>
      </w:r>
    </w:p>
    <w:p w14:paraId="622642F1" w14:textId="7260DF45" w:rsidR="00D235A2" w:rsidRPr="00D235A2" w:rsidRDefault="00D235A2" w:rsidP="00D235A2">
      <w:pPr>
        <w:jc w:val="both"/>
      </w:pPr>
      <w:r w:rsidRPr="00D235A2">
        <w:t>A escolha entre os dois critérios depende de uma decisão de política tributária</w:t>
      </w:r>
      <w:r w:rsidRPr="00D235A2">
        <w:t>. Deste modo, p</w:t>
      </w:r>
      <w:r w:rsidRPr="00D235A2">
        <w:t>aíses exportadores de capital (que investem no exterior) podem preferir a territorialidade para evitar a dupla tributação.</w:t>
      </w:r>
      <w:r w:rsidRPr="00D235A2">
        <w:t xml:space="preserve"> Por outro lado, p</w:t>
      </w:r>
      <w:r w:rsidRPr="00D235A2">
        <w:t>aíses importadores de capital podem favorecer a universalidade para tributar todos os rendimentos.</w:t>
      </w:r>
    </w:p>
    <w:p w14:paraId="243B90DB" w14:textId="77777777" w:rsidR="00D235A2" w:rsidRPr="00D235A2" w:rsidRDefault="00D235A2" w:rsidP="00D235A2">
      <w:pPr>
        <w:jc w:val="both"/>
      </w:pPr>
      <w:r w:rsidRPr="00D235A2">
        <w:t>O Brasil adota o critério da universalidade como regra, garantindo que toda a renda, independentemente da origem, seja tributada. Entretanto, a legislação delega ao legislador ordinário a tarefa de detalhar as condições dessa tributação, o que mantém aberta a possibilidade de debates futuros sobre um retorno parcial ou total à territorialidade, dependendo de decisões políticas e econômicas. A escolha entre universalidade e territorialidade deve ser feita com base em conveniências práticas e nos objetivos de política fiscal do país.</w:t>
      </w:r>
    </w:p>
    <w:p w14:paraId="3EFF0331" w14:textId="4F0EB177" w:rsidR="00D235A2" w:rsidRPr="00D235A2" w:rsidRDefault="00D235A2" w:rsidP="00D235A2">
      <w:pPr>
        <w:jc w:val="both"/>
      </w:pPr>
      <w:r w:rsidRPr="00D235A2">
        <w:t xml:space="preserve">Os conceitos de </w:t>
      </w:r>
      <w:r w:rsidRPr="00D235A2">
        <w:rPr>
          <w:b/>
          <w:bCs/>
        </w:rPr>
        <w:t>universalidade</w:t>
      </w:r>
      <w:r w:rsidRPr="00D235A2">
        <w:t xml:space="preserve"> e </w:t>
      </w:r>
      <w:r w:rsidRPr="00D235A2">
        <w:rPr>
          <w:b/>
          <w:bCs/>
        </w:rPr>
        <w:t>territorialidade</w:t>
      </w:r>
      <w:r w:rsidRPr="00D235A2">
        <w:t xml:space="preserve"> são critérios que definem como um sistema tributário trata a renda de pessoas físicas e jurídicas, particularmente em relação à sua origem geográfica</w:t>
      </w:r>
      <w:r>
        <w:t>.</w:t>
      </w:r>
    </w:p>
    <w:p w14:paraId="40AF1085" w14:textId="705B0521" w:rsidR="00D235A2" w:rsidRPr="00D235A2" w:rsidRDefault="00D235A2" w:rsidP="00D235A2">
      <w:pPr>
        <w:jc w:val="both"/>
      </w:pPr>
      <w:r w:rsidRPr="00D235A2">
        <w:t xml:space="preserve">Pelo critério da </w:t>
      </w:r>
      <w:r w:rsidRPr="00D235A2">
        <w:rPr>
          <w:b/>
          <w:bCs/>
          <w:u w:val="single"/>
        </w:rPr>
        <w:t>universalidade</w:t>
      </w:r>
      <w:r w:rsidRPr="00D235A2">
        <w:t xml:space="preserve">, a tributação abrange toda a renda de uma pessoa física ou jurídica </w:t>
      </w:r>
      <w:r w:rsidRPr="00D235A2">
        <w:rPr>
          <w:b/>
          <w:bCs/>
        </w:rPr>
        <w:t>independentemente do local onde foi gerada</w:t>
      </w:r>
      <w:r w:rsidRPr="00D235A2">
        <w:t>. Ou seja, tanto a renda obtida no Brasil quanto aquela gerada no exterior deve ser considerada para cálculo do imposto de renda</w:t>
      </w:r>
      <w:r>
        <w:t xml:space="preserve">. </w:t>
      </w:r>
      <w:r w:rsidRPr="00D235A2">
        <w:t xml:space="preserve">Visa a </w:t>
      </w:r>
      <w:r w:rsidRPr="00D235A2">
        <w:rPr>
          <w:b/>
          <w:bCs/>
        </w:rPr>
        <w:t>equidade tributária</w:t>
      </w:r>
      <w:r w:rsidRPr="00D235A2">
        <w:t>, tratando todos os rendimentos de forma igual, seja nacional ou internacional.</w:t>
      </w:r>
    </w:p>
    <w:p w14:paraId="37B0FFD5" w14:textId="74CA0E94" w:rsidR="00D235A2" w:rsidRPr="00D235A2" w:rsidRDefault="00D235A2" w:rsidP="00D235A2">
      <w:pPr>
        <w:jc w:val="both"/>
      </w:pPr>
      <w:r w:rsidRPr="00D235A2">
        <w:t xml:space="preserve">Pelo critério da </w:t>
      </w:r>
      <w:r w:rsidRPr="00D235A2">
        <w:rPr>
          <w:b/>
          <w:bCs/>
          <w:u w:val="single"/>
        </w:rPr>
        <w:t>territorialidade</w:t>
      </w:r>
      <w:r w:rsidRPr="00D235A2">
        <w:t xml:space="preserve">, a tributação ocorre apenas sobre a renda </w:t>
      </w:r>
      <w:r w:rsidRPr="00D235A2">
        <w:rPr>
          <w:b/>
          <w:bCs/>
        </w:rPr>
        <w:t>obtida no território nacional</w:t>
      </w:r>
      <w:r w:rsidRPr="00D235A2">
        <w:t>, ignorando rendimentos gerados fora do país</w:t>
      </w:r>
      <w:r>
        <w:t xml:space="preserve">. </w:t>
      </w:r>
      <w:r w:rsidRPr="00D235A2">
        <w:t>É mais simples de aplicar, pois limita a base de tributação à renda gerada internamente.</w:t>
      </w:r>
    </w:p>
    <w:p w14:paraId="73F57D43" w14:textId="7E60ECD6" w:rsidR="00D235A2" w:rsidRDefault="00D235A2" w:rsidP="00D235A2">
      <w:pPr>
        <w:jc w:val="both"/>
      </w:pPr>
      <w:r w:rsidRPr="00D235A2">
        <w:t xml:space="preserve">No Brasil, o legislador nacional optou por </w:t>
      </w:r>
      <w:r w:rsidRPr="00D235A2">
        <w:rPr>
          <w:b/>
          <w:bCs/>
        </w:rPr>
        <w:t>combinar aspectos de ambos os critérios, mas com predominância da universalidade</w:t>
      </w:r>
      <w:r w:rsidRPr="00D235A2">
        <w:t xml:space="preserve">, especialmente após a publicação da </w:t>
      </w:r>
      <w:r w:rsidRPr="00D235A2">
        <w:rPr>
          <w:b/>
          <w:bCs/>
        </w:rPr>
        <w:t>Lei nº 9.249/95</w:t>
      </w:r>
      <w:r w:rsidRPr="00D235A2">
        <w:t xml:space="preserve"> e da </w:t>
      </w:r>
      <w:r w:rsidRPr="00D235A2">
        <w:rPr>
          <w:b/>
          <w:bCs/>
        </w:rPr>
        <w:t>Lei Complementar nº 104/2001</w:t>
      </w:r>
      <w:r w:rsidRPr="00D235A2">
        <w:t>, que modificaram o Código Tributário Nacional (CTN)</w:t>
      </w:r>
      <w:r>
        <w:t>.</w:t>
      </w:r>
    </w:p>
    <w:p w14:paraId="067739BB" w14:textId="42C36AA6" w:rsidR="00D235A2" w:rsidRDefault="00D235A2" w:rsidP="00D235A2">
      <w:pPr>
        <w:jc w:val="both"/>
      </w:pPr>
      <w:r>
        <w:t>Há p</w:t>
      </w:r>
      <w:r w:rsidRPr="00D235A2">
        <w:t xml:space="preserve">redominância da </w:t>
      </w:r>
      <w:r>
        <w:t>u</w:t>
      </w:r>
      <w:r w:rsidRPr="00D235A2">
        <w:t>niversalidade</w:t>
      </w:r>
      <w:r>
        <w:t xml:space="preserve">. </w:t>
      </w:r>
      <w:r w:rsidRPr="00D235A2">
        <w:t xml:space="preserve">A tributação das pessoas jurídicas brasileiras é baseada no princípio da universalidade. Isso significa que </w:t>
      </w:r>
      <w:r w:rsidRPr="00D235A2">
        <w:rPr>
          <w:b/>
          <w:bCs/>
        </w:rPr>
        <w:t>toda a renda global</w:t>
      </w:r>
      <w:r w:rsidRPr="00D235A2">
        <w:t xml:space="preserve"> de uma pessoa jurídica domiciliada no Brasil deve ser tributada, incluindo os lucros gerados por filiais ou subsidiárias no exterior.</w:t>
      </w:r>
      <w:r>
        <w:t xml:space="preserve"> </w:t>
      </w:r>
      <w:r w:rsidRPr="00D235A2">
        <w:t xml:space="preserve">Essa abordagem está prevista no </w:t>
      </w:r>
      <w:r w:rsidRPr="00D235A2">
        <w:rPr>
          <w:b/>
          <w:bCs/>
        </w:rPr>
        <w:t>art. 43 do CTN</w:t>
      </w:r>
      <w:r w:rsidRPr="00D235A2">
        <w:t>, especialmente nos §§ 1º e 2º, que determinam a aplicação dos critérios de generalidade e universalidade ao imposto sobre a renda.</w:t>
      </w:r>
    </w:p>
    <w:p w14:paraId="587AA475" w14:textId="2A552F0A" w:rsidR="00D235A2" w:rsidRDefault="00D235A2" w:rsidP="00D235A2">
      <w:pPr>
        <w:jc w:val="both"/>
        <w:rPr>
          <w:b/>
          <w:bCs/>
        </w:rPr>
      </w:pPr>
      <w:r>
        <w:lastRenderedPageBreak/>
        <w:t>Existem r</w:t>
      </w:r>
      <w:r w:rsidRPr="00D235A2">
        <w:t xml:space="preserve">egras </w:t>
      </w:r>
      <w:r w:rsidRPr="00D235A2">
        <w:t xml:space="preserve">específicas para lucros </w:t>
      </w:r>
      <w:r w:rsidRPr="00D235A2">
        <w:t>no Exterior</w:t>
      </w:r>
      <w:r>
        <w:t xml:space="preserve">. </w:t>
      </w:r>
      <w:r w:rsidRPr="00D235A2">
        <w:t xml:space="preserve">A legislação brasileira exige a inclusão de </w:t>
      </w:r>
      <w:r w:rsidRPr="00D235A2">
        <w:rPr>
          <w:b/>
          <w:bCs/>
        </w:rPr>
        <w:t>lucros auferidos no exterior</w:t>
      </w:r>
      <w:r w:rsidRPr="00D235A2">
        <w:t xml:space="preserve"> na base de cálculo do imposto de renda das pessoas jurídicas brasileiras. Entretanto, o </w:t>
      </w:r>
      <w:r w:rsidRPr="00D235A2">
        <w:rPr>
          <w:b/>
          <w:bCs/>
        </w:rPr>
        <w:t>§ 2º do art. 43 do CTN</w:t>
      </w:r>
      <w:r w:rsidRPr="00D235A2">
        <w:t xml:space="preserve"> delega ao legislador ordinário a tarefa de definir </w:t>
      </w:r>
      <w:r w:rsidRPr="00D235A2">
        <w:rPr>
          <w:b/>
          <w:bCs/>
        </w:rPr>
        <w:t>as condições e o momento em que essa renda será considerada disponível</w:t>
      </w:r>
      <w:r>
        <w:rPr>
          <w:b/>
          <w:bCs/>
        </w:rPr>
        <w:t>.</w:t>
      </w:r>
    </w:p>
    <w:p w14:paraId="657B0481" w14:textId="418632C2" w:rsidR="00D235A2" w:rsidRDefault="00D235A2" w:rsidP="00D235A2">
      <w:pPr>
        <w:jc w:val="both"/>
      </w:pPr>
      <w:r w:rsidRPr="00D235A2">
        <w:t xml:space="preserve">Por fim, com relação à </w:t>
      </w:r>
      <w:r w:rsidRPr="00D235A2">
        <w:rPr>
          <w:b/>
          <w:bCs/>
        </w:rPr>
        <w:t>t</w:t>
      </w:r>
      <w:r w:rsidRPr="00D235A2">
        <w:rPr>
          <w:b/>
          <w:bCs/>
        </w:rPr>
        <w:t>ransição da territorialidade para a universalidade</w:t>
      </w:r>
      <w:r w:rsidRPr="00D235A2">
        <w:t>, a</w:t>
      </w:r>
      <w:r w:rsidRPr="00D235A2">
        <w:t>ntes da Lei nº 9.249/95, o Brasil utilizava o critério da territorialidade para a tributação das pessoas jurídicas. Com essa lei, o país adotou a universalidade, passando a tributar a renda global das empresas.</w:t>
      </w:r>
      <w:r w:rsidRPr="00D235A2">
        <w:t xml:space="preserve"> </w:t>
      </w:r>
      <w:r w:rsidRPr="00D235A2">
        <w:t>Exceções à aplicação desse princípio podem ser encontradas em tratados internacionais para evitar a dupla tributação, que estabelecem regras de compensação ou exclusão.</w:t>
      </w:r>
    </w:p>
    <w:p w14:paraId="7A8E6F7C" w14:textId="39CE36B0" w:rsidR="00D235A2" w:rsidRPr="00D235A2" w:rsidRDefault="00D235A2" w:rsidP="00D235A2">
      <w:pPr>
        <w:jc w:val="both"/>
      </w:pPr>
      <w:r>
        <w:t>Como vantagens, a universalidade p</w:t>
      </w:r>
      <w:r w:rsidRPr="00D235A2">
        <w:t>ermite ao Estado brasileiro tributar rendas globais, independentemente de onde foram geradas.</w:t>
      </w:r>
      <w:r>
        <w:t xml:space="preserve"> Porém, p</w:t>
      </w:r>
      <w:r w:rsidRPr="00D235A2">
        <w:t xml:space="preserve">ode levar à </w:t>
      </w:r>
      <w:r w:rsidRPr="00D235A2">
        <w:rPr>
          <w:b/>
          <w:bCs/>
        </w:rPr>
        <w:t>dupla tributação</w:t>
      </w:r>
      <w:r w:rsidRPr="00D235A2">
        <w:t>, já que o lucro auferido no exterior pode ser tributado tanto no país de origem quanto no Brasil.</w:t>
      </w:r>
      <w:r>
        <w:t xml:space="preserve"> Ademais, r</w:t>
      </w:r>
      <w:r w:rsidRPr="00D235A2">
        <w:t>equer mecanismos complexos de compensação tributária (como créditos fiscais) e tratados internacionais para evitar conflitos.</w:t>
      </w:r>
    </w:p>
    <w:p w14:paraId="0C4AC06E" w14:textId="77777777" w:rsidR="00D235A2" w:rsidRPr="00D235A2" w:rsidRDefault="00D235A2" w:rsidP="00D235A2">
      <w:pPr>
        <w:jc w:val="both"/>
      </w:pPr>
    </w:p>
    <w:p w14:paraId="636CBFA5" w14:textId="3D38F58A" w:rsidR="00D235A2" w:rsidRDefault="00D235A2" w:rsidP="00D235A2">
      <w:pPr>
        <w:jc w:val="both"/>
      </w:pPr>
    </w:p>
    <w:p w14:paraId="7A458167" w14:textId="77777777" w:rsidR="00D235A2" w:rsidRDefault="00D235A2" w:rsidP="00B15AED"/>
    <w:p w14:paraId="3C048A0B" w14:textId="77777777" w:rsidR="00D235A2" w:rsidRDefault="00D235A2" w:rsidP="00B15AED"/>
    <w:p w14:paraId="1C6CE25B" w14:textId="1F990D7F" w:rsidR="00B15AED" w:rsidRDefault="00B15AED" w:rsidP="00B15AED">
      <w:pPr>
        <w:pBdr>
          <w:top w:val="single" w:sz="4" w:space="1" w:color="auto"/>
          <w:left w:val="single" w:sz="4" w:space="4" w:color="auto"/>
          <w:bottom w:val="single" w:sz="4" w:space="1" w:color="auto"/>
          <w:right w:val="single" w:sz="4" w:space="4" w:color="auto"/>
          <w:between w:val="single" w:sz="4" w:space="1" w:color="auto"/>
          <w:bar w:val="single" w:sz="4" w:color="auto"/>
        </w:pBdr>
      </w:pPr>
      <w:r w:rsidRPr="00B15AED">
        <w:t>6. Qual a função dos comentários ao Modelo OCDE? Eles são vinculantes? Responder</w:t>
      </w:r>
      <w:r>
        <w:t xml:space="preserve"> </w:t>
      </w:r>
      <w:r w:rsidRPr="00B15AED">
        <w:t>levando em consideração o fato de o Brasil não ser membro da OCDE, mas utilizar a</w:t>
      </w:r>
      <w:r>
        <w:t xml:space="preserve"> </w:t>
      </w:r>
      <w:r w:rsidRPr="00B15AED">
        <w:t>convenção modelo e apor reservas aos comentários.</w:t>
      </w:r>
    </w:p>
    <w:p w14:paraId="55825FD0" w14:textId="77777777" w:rsidR="00B15AED" w:rsidRDefault="00B15AED" w:rsidP="00B15AED"/>
    <w:p w14:paraId="6AB6BABA" w14:textId="2F6A13DE" w:rsidR="00A837D4" w:rsidRDefault="00A837D4" w:rsidP="00A837D4">
      <w:pPr>
        <w:jc w:val="both"/>
      </w:pPr>
      <w:r>
        <w:t xml:space="preserve">Conforme </w:t>
      </w:r>
      <w:r w:rsidRPr="00D235A2">
        <w:t xml:space="preserve">Luís Eduardo </w:t>
      </w:r>
      <w:proofErr w:type="spellStart"/>
      <w:r w:rsidRPr="00D235A2">
        <w:t>Schoueri</w:t>
      </w:r>
      <w:proofErr w:type="spellEnd"/>
      <w:r>
        <w:t xml:space="preserve"> e </w:t>
      </w:r>
      <w:r w:rsidRPr="00D235A2">
        <w:t>Roberto Codorniz Leite Pereira</w:t>
      </w:r>
      <w:r>
        <w:rPr>
          <w:rStyle w:val="Refdenotaderodap"/>
        </w:rPr>
        <w:footnoteReference w:id="12"/>
      </w:r>
      <w:r>
        <w:t>, em relação à</w:t>
      </w:r>
      <w:r w:rsidRPr="00A837D4">
        <w:t xml:space="preserve"> </w:t>
      </w:r>
      <w:r w:rsidRPr="00A837D4">
        <w:rPr>
          <w:b/>
          <w:bCs/>
        </w:rPr>
        <w:t>Normatividade das Recomendações</w:t>
      </w:r>
      <w:r w:rsidRPr="00A837D4">
        <w:t xml:space="preserve"> da </w:t>
      </w:r>
      <w:r w:rsidRPr="00A837D4">
        <w:rPr>
          <w:b/>
          <w:bCs/>
        </w:rPr>
        <w:t>OCDE</w:t>
      </w:r>
      <w:r w:rsidRPr="00A837D4">
        <w:rPr>
          <w:b/>
          <w:bCs/>
        </w:rPr>
        <w:t xml:space="preserve"> </w:t>
      </w:r>
      <w:r w:rsidRPr="00A837D4">
        <w:rPr>
          <w:b/>
          <w:bCs/>
        </w:rPr>
        <w:t>(Organização para a Cooperação e Desenvolvimento Econômico)</w:t>
      </w:r>
      <w:r w:rsidRPr="00A837D4">
        <w:t>:</w:t>
      </w:r>
    </w:p>
    <w:p w14:paraId="4BA6860F" w14:textId="77777777" w:rsidR="00A837D4" w:rsidRDefault="00A837D4" w:rsidP="00B15AED"/>
    <w:p w14:paraId="21C44204" w14:textId="77777777" w:rsidR="00A837D4" w:rsidRPr="00A837D4" w:rsidRDefault="00A837D4" w:rsidP="00A837D4">
      <w:r w:rsidRPr="00A837D4">
        <w:t>O artigo 38 do Estatuto da CIJ estabelece quais são as principais fontes que criam direitos e obrigações no Direito Internacional Público, sendo estas:</w:t>
      </w:r>
    </w:p>
    <w:p w14:paraId="0125461C" w14:textId="77777777" w:rsidR="00A837D4" w:rsidRPr="00A837D4" w:rsidRDefault="00A837D4" w:rsidP="00A837D4">
      <w:pPr>
        <w:numPr>
          <w:ilvl w:val="0"/>
          <w:numId w:val="9"/>
        </w:numPr>
      </w:pPr>
      <w:r w:rsidRPr="00A837D4">
        <w:rPr>
          <w:b/>
          <w:bCs/>
        </w:rPr>
        <w:t>Convenções Internacionais (Tratados)</w:t>
      </w:r>
      <w:r w:rsidRPr="00A837D4">
        <w:t>:</w:t>
      </w:r>
    </w:p>
    <w:p w14:paraId="0DFF4B8F" w14:textId="77777777" w:rsidR="00A837D4" w:rsidRPr="00A837D4" w:rsidRDefault="00A837D4" w:rsidP="00A837D4">
      <w:pPr>
        <w:numPr>
          <w:ilvl w:val="1"/>
          <w:numId w:val="9"/>
        </w:numPr>
      </w:pPr>
      <w:r w:rsidRPr="00A837D4">
        <w:t>Acordos formais entre Estados, que estabelecem regras jurídicas reconhecidas por aqueles que os assinam. São as principais fontes formais de criação de obrigações no Direito Internacional.</w:t>
      </w:r>
    </w:p>
    <w:p w14:paraId="160266F3" w14:textId="77777777" w:rsidR="00A837D4" w:rsidRPr="00A837D4" w:rsidRDefault="00A837D4" w:rsidP="00A837D4">
      <w:pPr>
        <w:numPr>
          <w:ilvl w:val="0"/>
          <w:numId w:val="9"/>
        </w:numPr>
      </w:pPr>
      <w:r w:rsidRPr="00A837D4">
        <w:rPr>
          <w:b/>
          <w:bCs/>
        </w:rPr>
        <w:t>Costume Internacional</w:t>
      </w:r>
      <w:r w:rsidRPr="00A837D4">
        <w:t>:</w:t>
      </w:r>
    </w:p>
    <w:p w14:paraId="75342784" w14:textId="77777777" w:rsidR="00A837D4" w:rsidRPr="00A837D4" w:rsidRDefault="00A837D4" w:rsidP="00A837D4">
      <w:pPr>
        <w:numPr>
          <w:ilvl w:val="1"/>
          <w:numId w:val="9"/>
        </w:numPr>
      </w:pPr>
      <w:r w:rsidRPr="00A837D4">
        <w:lastRenderedPageBreak/>
        <w:t>Regras formadas pela prática geral dos Estados, aceita como direito. É uma fonte informal, mas amplamente reconhecida.</w:t>
      </w:r>
    </w:p>
    <w:p w14:paraId="6CDCF417" w14:textId="77777777" w:rsidR="00A837D4" w:rsidRPr="00A837D4" w:rsidRDefault="00A837D4" w:rsidP="00A837D4">
      <w:pPr>
        <w:numPr>
          <w:ilvl w:val="0"/>
          <w:numId w:val="9"/>
        </w:numPr>
      </w:pPr>
      <w:r w:rsidRPr="00A837D4">
        <w:rPr>
          <w:b/>
          <w:bCs/>
        </w:rPr>
        <w:t>Princípios Gerais de Direito</w:t>
      </w:r>
      <w:r w:rsidRPr="00A837D4">
        <w:t>:</w:t>
      </w:r>
    </w:p>
    <w:p w14:paraId="738D059F" w14:textId="77777777" w:rsidR="00A837D4" w:rsidRPr="00A837D4" w:rsidRDefault="00A837D4" w:rsidP="00A837D4">
      <w:pPr>
        <w:numPr>
          <w:ilvl w:val="1"/>
          <w:numId w:val="9"/>
        </w:numPr>
      </w:pPr>
      <w:r w:rsidRPr="00A837D4">
        <w:t>Regras universais reconhecidas pelas nações civilizadas, que servem como base em casos onde os tratados ou costumes não se aplicam diretamente.</w:t>
      </w:r>
    </w:p>
    <w:p w14:paraId="041D9AED" w14:textId="77777777" w:rsidR="00A837D4" w:rsidRPr="00A837D4" w:rsidRDefault="00A837D4" w:rsidP="00A837D4">
      <w:pPr>
        <w:numPr>
          <w:ilvl w:val="0"/>
          <w:numId w:val="9"/>
        </w:numPr>
      </w:pPr>
      <w:r w:rsidRPr="00A837D4">
        <w:rPr>
          <w:b/>
          <w:bCs/>
        </w:rPr>
        <w:t>Decisões Judiciais e Doutrinas (Fontes Auxiliares)</w:t>
      </w:r>
      <w:r w:rsidRPr="00A837D4">
        <w:t>:</w:t>
      </w:r>
    </w:p>
    <w:p w14:paraId="7ECD3ACE" w14:textId="77777777" w:rsidR="00A837D4" w:rsidRPr="00A837D4" w:rsidRDefault="00A837D4" w:rsidP="00A837D4">
      <w:pPr>
        <w:numPr>
          <w:ilvl w:val="1"/>
          <w:numId w:val="9"/>
        </w:numPr>
      </w:pPr>
      <w:r w:rsidRPr="00A837D4">
        <w:t>Servem apenas para auxiliar na determinação do direito e não criam, por si mesmas, normas vinculantes.</w:t>
      </w:r>
    </w:p>
    <w:p w14:paraId="7D78B93E" w14:textId="77777777" w:rsidR="00A837D4" w:rsidRDefault="00A837D4" w:rsidP="00B15AED"/>
    <w:p w14:paraId="72F94827" w14:textId="77777777" w:rsidR="00A837D4" w:rsidRPr="00A837D4" w:rsidRDefault="00A837D4" w:rsidP="00A837D4">
      <w:pPr>
        <w:rPr>
          <w:b/>
          <w:bCs/>
        </w:rPr>
      </w:pPr>
      <w:r w:rsidRPr="00A837D4">
        <w:rPr>
          <w:b/>
          <w:bCs/>
        </w:rPr>
        <w:t>Hierarquia entre essas fontes</w:t>
      </w:r>
    </w:p>
    <w:p w14:paraId="60520145" w14:textId="77777777" w:rsidR="00A837D4" w:rsidRPr="00A837D4" w:rsidRDefault="00A837D4" w:rsidP="00A837D4">
      <w:r w:rsidRPr="00A837D4">
        <w:t>Não existe uma relação hierárquica entre as fontes listadas no artigo 38, mas sim uma complementaridade funcional. Tratados, costumes e princípios gerais têm caráter vinculante, enquanto decisões judiciais e doutrinas têm caráter apenas interpretativo.</w:t>
      </w:r>
    </w:p>
    <w:p w14:paraId="6B14A583" w14:textId="77777777" w:rsidR="00A837D4" w:rsidRDefault="00A837D4" w:rsidP="00B15AED"/>
    <w:p w14:paraId="7E4F3282" w14:textId="77777777" w:rsidR="00A837D4" w:rsidRPr="00A837D4" w:rsidRDefault="00A837D4" w:rsidP="00A837D4">
      <w:pPr>
        <w:rPr>
          <w:b/>
          <w:bCs/>
        </w:rPr>
      </w:pPr>
      <w:r w:rsidRPr="00A837D4">
        <w:rPr>
          <w:b/>
          <w:bCs/>
        </w:rPr>
        <w:t>O Projeto BEPS e o Direito Tributário Internacional</w:t>
      </w:r>
    </w:p>
    <w:p w14:paraId="3F51AFD8" w14:textId="77777777" w:rsidR="00A837D4" w:rsidRPr="00A837D4" w:rsidRDefault="00A837D4" w:rsidP="00A837D4">
      <w:r w:rsidRPr="00A837D4">
        <w:t xml:space="preserve">O </w:t>
      </w:r>
      <w:r w:rsidRPr="00A837D4">
        <w:rPr>
          <w:b/>
          <w:bCs/>
        </w:rPr>
        <w:t>Projeto BEPS</w:t>
      </w:r>
      <w:r w:rsidRPr="00A837D4">
        <w:t>, criado pela OCDE com o apoio do G20, tem como objetivo combater práticas que resultem na erosão da base tributária e no deslocamento de lucros para jurisdições de baixa ou nenhuma tributação (os chamados "paraísos fiscais"). Essas práticas minam o sistema tributário global e a arrecadação de Estados nacionais.</w:t>
      </w:r>
    </w:p>
    <w:p w14:paraId="3BD3CCCF" w14:textId="77777777" w:rsidR="00A837D4" w:rsidRPr="00A837D4" w:rsidRDefault="00A837D4" w:rsidP="00A837D4">
      <w:pPr>
        <w:rPr>
          <w:b/>
          <w:bCs/>
        </w:rPr>
      </w:pPr>
      <w:r w:rsidRPr="00A837D4">
        <w:rPr>
          <w:b/>
          <w:bCs/>
        </w:rPr>
        <w:t>a) Estrutura do Projeto BEPS</w:t>
      </w:r>
    </w:p>
    <w:p w14:paraId="4764E4C9" w14:textId="77777777" w:rsidR="00A837D4" w:rsidRPr="00A837D4" w:rsidRDefault="00A837D4" w:rsidP="00A837D4">
      <w:r w:rsidRPr="00A837D4">
        <w:t xml:space="preserve">O BEPS apresenta </w:t>
      </w:r>
      <w:r w:rsidRPr="00A837D4">
        <w:rPr>
          <w:b/>
          <w:bCs/>
        </w:rPr>
        <w:t>15 planos de ação</w:t>
      </w:r>
      <w:r w:rsidRPr="00A837D4">
        <w:t>, cobrindo áreas críticas para a tributação internacional, como:</w:t>
      </w:r>
    </w:p>
    <w:p w14:paraId="04A9C6B8" w14:textId="77777777" w:rsidR="00A837D4" w:rsidRPr="00A837D4" w:rsidRDefault="00A837D4" w:rsidP="00A837D4">
      <w:pPr>
        <w:numPr>
          <w:ilvl w:val="0"/>
          <w:numId w:val="10"/>
        </w:numPr>
      </w:pPr>
      <w:r w:rsidRPr="00A837D4">
        <w:t xml:space="preserve">Combate ao </w:t>
      </w:r>
      <w:proofErr w:type="spellStart"/>
      <w:r w:rsidRPr="00A837D4">
        <w:rPr>
          <w:b/>
          <w:bCs/>
        </w:rPr>
        <w:t>treaty</w:t>
      </w:r>
      <w:proofErr w:type="spellEnd"/>
      <w:r w:rsidRPr="00A837D4">
        <w:rPr>
          <w:b/>
          <w:bCs/>
        </w:rPr>
        <w:t xml:space="preserve"> shopping</w:t>
      </w:r>
      <w:r w:rsidRPr="00A837D4">
        <w:t xml:space="preserve"> (manipulação de tratados fiscais).</w:t>
      </w:r>
    </w:p>
    <w:p w14:paraId="00393034" w14:textId="77777777" w:rsidR="00A837D4" w:rsidRPr="00A837D4" w:rsidRDefault="00A837D4" w:rsidP="00A837D4">
      <w:pPr>
        <w:numPr>
          <w:ilvl w:val="0"/>
          <w:numId w:val="10"/>
        </w:numPr>
        <w:rPr>
          <w:lang w:val="en-US"/>
        </w:rPr>
      </w:pPr>
      <w:proofErr w:type="spellStart"/>
      <w:r w:rsidRPr="00A837D4">
        <w:rPr>
          <w:lang w:val="en-US"/>
        </w:rPr>
        <w:t>Relatórios</w:t>
      </w:r>
      <w:proofErr w:type="spellEnd"/>
      <w:r w:rsidRPr="00A837D4">
        <w:rPr>
          <w:lang w:val="en-US"/>
        </w:rPr>
        <w:t xml:space="preserve"> </w:t>
      </w:r>
      <w:proofErr w:type="spellStart"/>
      <w:r w:rsidRPr="00A837D4">
        <w:rPr>
          <w:lang w:val="en-US"/>
        </w:rPr>
        <w:t>por</w:t>
      </w:r>
      <w:proofErr w:type="spellEnd"/>
      <w:r w:rsidRPr="00A837D4">
        <w:rPr>
          <w:lang w:val="en-US"/>
        </w:rPr>
        <w:t xml:space="preserve"> </w:t>
      </w:r>
      <w:proofErr w:type="spellStart"/>
      <w:r w:rsidRPr="00A837D4">
        <w:rPr>
          <w:lang w:val="en-US"/>
        </w:rPr>
        <w:t>país</w:t>
      </w:r>
      <w:proofErr w:type="spellEnd"/>
      <w:r w:rsidRPr="00A837D4">
        <w:rPr>
          <w:lang w:val="en-US"/>
        </w:rPr>
        <w:t xml:space="preserve"> (</w:t>
      </w:r>
      <w:proofErr w:type="spellStart"/>
      <w:r w:rsidRPr="00A837D4">
        <w:rPr>
          <w:lang w:val="en-US"/>
        </w:rPr>
        <w:t>CbCR</w:t>
      </w:r>
      <w:proofErr w:type="spellEnd"/>
      <w:r w:rsidRPr="00A837D4">
        <w:rPr>
          <w:lang w:val="en-US"/>
        </w:rPr>
        <w:t xml:space="preserve"> - Country-by-Country Reporting).</w:t>
      </w:r>
    </w:p>
    <w:p w14:paraId="2CFAE693" w14:textId="77777777" w:rsidR="00A837D4" w:rsidRPr="00A837D4" w:rsidRDefault="00A837D4" w:rsidP="00A837D4">
      <w:pPr>
        <w:numPr>
          <w:ilvl w:val="0"/>
          <w:numId w:val="10"/>
        </w:numPr>
      </w:pPr>
      <w:r w:rsidRPr="00A837D4">
        <w:t>Aumento da transparência fiscal e troca de informações.</w:t>
      </w:r>
    </w:p>
    <w:p w14:paraId="306C6B46" w14:textId="77777777" w:rsidR="00A837D4" w:rsidRPr="00A837D4" w:rsidRDefault="00A837D4" w:rsidP="00A837D4">
      <w:r w:rsidRPr="00A837D4">
        <w:t>As recomendações são divididas em:</w:t>
      </w:r>
    </w:p>
    <w:p w14:paraId="4A5C246F" w14:textId="77777777" w:rsidR="00A837D4" w:rsidRPr="00A837D4" w:rsidRDefault="00A837D4" w:rsidP="00A837D4">
      <w:pPr>
        <w:numPr>
          <w:ilvl w:val="0"/>
          <w:numId w:val="11"/>
        </w:numPr>
      </w:pPr>
      <w:proofErr w:type="spellStart"/>
      <w:r w:rsidRPr="00A837D4">
        <w:rPr>
          <w:b/>
          <w:bCs/>
        </w:rPr>
        <w:t>Minimum</w:t>
      </w:r>
      <w:proofErr w:type="spellEnd"/>
      <w:r w:rsidRPr="00A837D4">
        <w:rPr>
          <w:b/>
          <w:bCs/>
        </w:rPr>
        <w:t xml:space="preserve"> standards</w:t>
      </w:r>
      <w:r w:rsidRPr="00A837D4">
        <w:t>:</w:t>
      </w:r>
    </w:p>
    <w:p w14:paraId="4BEEA584" w14:textId="77777777" w:rsidR="00A837D4" w:rsidRPr="00A837D4" w:rsidRDefault="00A837D4" w:rsidP="00A837D4">
      <w:pPr>
        <w:numPr>
          <w:ilvl w:val="1"/>
          <w:numId w:val="11"/>
        </w:numPr>
      </w:pPr>
      <w:r w:rsidRPr="00A837D4">
        <w:t>São medidas obrigatórias e de maior comprometimento para os países, buscando uniformização global.</w:t>
      </w:r>
    </w:p>
    <w:p w14:paraId="1D50A813" w14:textId="77777777" w:rsidR="00A837D4" w:rsidRPr="00A837D4" w:rsidRDefault="00A837D4" w:rsidP="00A837D4">
      <w:pPr>
        <w:numPr>
          <w:ilvl w:val="1"/>
          <w:numId w:val="11"/>
        </w:numPr>
      </w:pPr>
      <w:r w:rsidRPr="00A837D4">
        <w:t>Exemplo: Transparência fiscal e combate ao abuso de tratados fiscais.</w:t>
      </w:r>
    </w:p>
    <w:p w14:paraId="3A4CA2B1" w14:textId="77777777" w:rsidR="00A837D4" w:rsidRPr="00A837D4" w:rsidRDefault="00A837D4" w:rsidP="00A837D4">
      <w:pPr>
        <w:numPr>
          <w:ilvl w:val="0"/>
          <w:numId w:val="11"/>
        </w:numPr>
      </w:pPr>
      <w:proofErr w:type="spellStart"/>
      <w:r w:rsidRPr="00A837D4">
        <w:rPr>
          <w:b/>
          <w:bCs/>
        </w:rPr>
        <w:t>Recommendations</w:t>
      </w:r>
      <w:proofErr w:type="spellEnd"/>
      <w:r w:rsidRPr="00A837D4">
        <w:t xml:space="preserve"> e </w:t>
      </w:r>
      <w:r w:rsidRPr="00A837D4">
        <w:rPr>
          <w:b/>
          <w:bCs/>
        </w:rPr>
        <w:t xml:space="preserve">Best </w:t>
      </w:r>
      <w:proofErr w:type="spellStart"/>
      <w:r w:rsidRPr="00A837D4">
        <w:rPr>
          <w:b/>
          <w:bCs/>
        </w:rPr>
        <w:t>practices</w:t>
      </w:r>
      <w:proofErr w:type="spellEnd"/>
      <w:r w:rsidRPr="00A837D4">
        <w:t>:</w:t>
      </w:r>
    </w:p>
    <w:p w14:paraId="290A2636" w14:textId="77777777" w:rsidR="00A837D4" w:rsidRPr="00A837D4" w:rsidRDefault="00A837D4" w:rsidP="00A837D4">
      <w:pPr>
        <w:numPr>
          <w:ilvl w:val="1"/>
          <w:numId w:val="11"/>
        </w:numPr>
      </w:pPr>
      <w:r w:rsidRPr="00A837D4">
        <w:t>São medidas mais flexíveis, com menor grau de obrigatoriedade. Os países podem adotá-las de forma adaptada às suas realidades.</w:t>
      </w:r>
    </w:p>
    <w:p w14:paraId="0568AB28" w14:textId="77777777" w:rsidR="00A837D4" w:rsidRPr="00A837D4" w:rsidRDefault="00A837D4" w:rsidP="00A837D4">
      <w:pPr>
        <w:rPr>
          <w:b/>
          <w:bCs/>
          <w:lang w:val="en-US"/>
        </w:rPr>
      </w:pPr>
      <w:r w:rsidRPr="00A837D4">
        <w:rPr>
          <w:b/>
          <w:bCs/>
          <w:lang w:val="en-US"/>
        </w:rPr>
        <w:t>b) Soft Law x Hard Law</w:t>
      </w:r>
    </w:p>
    <w:p w14:paraId="1B7AC03A" w14:textId="77777777" w:rsidR="00A837D4" w:rsidRPr="00A837D4" w:rsidRDefault="00A837D4" w:rsidP="00A837D4">
      <w:pPr>
        <w:numPr>
          <w:ilvl w:val="0"/>
          <w:numId w:val="12"/>
        </w:numPr>
      </w:pPr>
      <w:r w:rsidRPr="00A837D4">
        <w:rPr>
          <w:b/>
          <w:bCs/>
        </w:rPr>
        <w:lastRenderedPageBreak/>
        <w:t>Soft Law</w:t>
      </w:r>
      <w:r w:rsidRPr="00A837D4">
        <w:t>:</w:t>
      </w:r>
    </w:p>
    <w:p w14:paraId="4F2D285E" w14:textId="77777777" w:rsidR="00A837D4" w:rsidRPr="00A837D4" w:rsidRDefault="00A837D4" w:rsidP="00A837D4">
      <w:pPr>
        <w:numPr>
          <w:ilvl w:val="1"/>
          <w:numId w:val="12"/>
        </w:numPr>
      </w:pPr>
      <w:r w:rsidRPr="00A837D4">
        <w:t>Refere-se a normas que não são obrigatórias ou vinculantes, como as recomendações do BEPS. São instrumentos de baixa normatividade, mas podem influenciar o comportamento dos Estados e moldar futuras normas vinculantes.</w:t>
      </w:r>
    </w:p>
    <w:p w14:paraId="127279F0" w14:textId="77777777" w:rsidR="00A837D4" w:rsidRPr="00A837D4" w:rsidRDefault="00A837D4" w:rsidP="00A837D4">
      <w:pPr>
        <w:numPr>
          <w:ilvl w:val="0"/>
          <w:numId w:val="12"/>
        </w:numPr>
      </w:pPr>
      <w:r w:rsidRPr="00A837D4">
        <w:rPr>
          <w:b/>
          <w:bCs/>
        </w:rPr>
        <w:t>Hard Law</w:t>
      </w:r>
      <w:r w:rsidRPr="00A837D4">
        <w:t>:</w:t>
      </w:r>
    </w:p>
    <w:p w14:paraId="4CBCB338" w14:textId="77777777" w:rsidR="00A837D4" w:rsidRPr="00A837D4" w:rsidRDefault="00A837D4" w:rsidP="00A837D4">
      <w:pPr>
        <w:numPr>
          <w:ilvl w:val="1"/>
          <w:numId w:val="12"/>
        </w:numPr>
      </w:pPr>
      <w:r w:rsidRPr="00A837D4">
        <w:t>Inclui tratados internacionais ou legislações nacionais que geram obrigações jurídicas formais.</w:t>
      </w:r>
    </w:p>
    <w:p w14:paraId="7E344CAC" w14:textId="77777777" w:rsidR="00A837D4" w:rsidRPr="00A837D4" w:rsidRDefault="00A837D4" w:rsidP="00A837D4">
      <w:r w:rsidRPr="00A837D4">
        <w:t xml:space="preserve">O BEPS, sendo majoritariamente um instrumento de soft </w:t>
      </w:r>
      <w:proofErr w:type="spellStart"/>
      <w:r w:rsidRPr="00A837D4">
        <w:t>law</w:t>
      </w:r>
      <w:proofErr w:type="spellEnd"/>
      <w:r w:rsidRPr="00A837D4">
        <w:t xml:space="preserve">, depende da vontade política dos Estados para ser implementado. No entanto, sua adoção por países membros do G20 e da OCDE reforça sua legitimidade e pode influenciar no desenvolvimento de hard </w:t>
      </w:r>
      <w:proofErr w:type="spellStart"/>
      <w:r w:rsidRPr="00A837D4">
        <w:t>law</w:t>
      </w:r>
      <w:proofErr w:type="spellEnd"/>
      <w:r w:rsidRPr="00A837D4">
        <w:t>.</w:t>
      </w:r>
    </w:p>
    <w:p w14:paraId="1A5D7C07" w14:textId="77777777" w:rsidR="00A837D4" w:rsidRDefault="00A837D4" w:rsidP="00A837D4">
      <w:pPr>
        <w:rPr>
          <w:b/>
          <w:bCs/>
        </w:rPr>
      </w:pPr>
    </w:p>
    <w:p w14:paraId="2084EEFF" w14:textId="2E33F57D" w:rsidR="00A837D4" w:rsidRPr="00A837D4" w:rsidRDefault="00A837D4" w:rsidP="00A837D4">
      <w:pPr>
        <w:rPr>
          <w:b/>
          <w:bCs/>
        </w:rPr>
      </w:pPr>
      <w:r w:rsidRPr="00A837D4">
        <w:rPr>
          <w:b/>
          <w:bCs/>
        </w:rPr>
        <w:t>Aplicação ao Brasil</w:t>
      </w:r>
    </w:p>
    <w:p w14:paraId="26D1618A" w14:textId="77777777" w:rsidR="00A837D4" w:rsidRPr="00A837D4" w:rsidRDefault="00A837D4" w:rsidP="00A837D4">
      <w:pPr>
        <w:rPr>
          <w:b/>
          <w:bCs/>
        </w:rPr>
      </w:pPr>
      <w:r w:rsidRPr="00A837D4">
        <w:rPr>
          <w:b/>
          <w:bCs/>
        </w:rPr>
        <w:t>a) Brasil e o Projeto BEPS</w:t>
      </w:r>
    </w:p>
    <w:p w14:paraId="4997A7C0" w14:textId="77777777" w:rsidR="00A837D4" w:rsidRPr="00A837D4" w:rsidRDefault="00A837D4" w:rsidP="00A837D4">
      <w:r w:rsidRPr="00A837D4">
        <w:t>O Brasil não é membro da OCDE, mas participou do projeto por meio do G20, grupo que inclui economias emergentes como o Brasil. Apesar disso:</w:t>
      </w:r>
    </w:p>
    <w:p w14:paraId="5A0B4891" w14:textId="77777777" w:rsidR="00A837D4" w:rsidRPr="00A837D4" w:rsidRDefault="00A837D4" w:rsidP="00A837D4">
      <w:pPr>
        <w:numPr>
          <w:ilvl w:val="0"/>
          <w:numId w:val="13"/>
        </w:numPr>
      </w:pPr>
      <w:r w:rsidRPr="00A837D4">
        <w:t xml:space="preserve">O Brasil </w:t>
      </w:r>
      <w:r w:rsidRPr="00A837D4">
        <w:rPr>
          <w:b/>
          <w:bCs/>
        </w:rPr>
        <w:t>não está automaticamente vinculado</w:t>
      </w:r>
      <w:r w:rsidRPr="00A837D4">
        <w:t xml:space="preserve"> às recomendações do BEPS, a menos que incorpore essas medidas em sua legislação interna.</w:t>
      </w:r>
    </w:p>
    <w:p w14:paraId="7DEBB804" w14:textId="77777777" w:rsidR="00A837D4" w:rsidRPr="00A837D4" w:rsidRDefault="00A837D4" w:rsidP="00A837D4">
      <w:pPr>
        <w:numPr>
          <w:ilvl w:val="0"/>
          <w:numId w:val="13"/>
        </w:numPr>
      </w:pPr>
      <w:r w:rsidRPr="00A837D4">
        <w:t xml:space="preserve">Exemplo: O Brasil adotou o </w:t>
      </w:r>
      <w:r w:rsidRPr="00A837D4">
        <w:rPr>
          <w:b/>
          <w:bCs/>
        </w:rPr>
        <w:t>Country-</w:t>
      </w:r>
      <w:proofErr w:type="spellStart"/>
      <w:r w:rsidRPr="00A837D4">
        <w:rPr>
          <w:b/>
          <w:bCs/>
        </w:rPr>
        <w:t>by</w:t>
      </w:r>
      <w:proofErr w:type="spellEnd"/>
      <w:r w:rsidRPr="00A837D4">
        <w:rPr>
          <w:b/>
          <w:bCs/>
        </w:rPr>
        <w:t xml:space="preserve">-Country </w:t>
      </w:r>
      <w:proofErr w:type="spellStart"/>
      <w:r w:rsidRPr="00A837D4">
        <w:rPr>
          <w:b/>
          <w:bCs/>
        </w:rPr>
        <w:t>Reporting</w:t>
      </w:r>
      <w:proofErr w:type="spellEnd"/>
      <w:r w:rsidRPr="00A837D4">
        <w:t xml:space="preserve"> (</w:t>
      </w:r>
      <w:proofErr w:type="spellStart"/>
      <w:r w:rsidRPr="00A837D4">
        <w:t>CbCR</w:t>
      </w:r>
      <w:proofErr w:type="spellEnd"/>
      <w:r w:rsidRPr="00A837D4">
        <w:t>) por meio da Instrução Normativa RFB nº 1.681/2016, implementando uma das ações do BEPS.</w:t>
      </w:r>
    </w:p>
    <w:p w14:paraId="56FF6D62" w14:textId="77777777" w:rsidR="00A837D4" w:rsidRPr="00A837D4" w:rsidRDefault="00A837D4" w:rsidP="00A837D4">
      <w:pPr>
        <w:rPr>
          <w:b/>
          <w:bCs/>
        </w:rPr>
      </w:pPr>
      <w:r w:rsidRPr="00A837D4">
        <w:rPr>
          <w:b/>
          <w:bCs/>
        </w:rPr>
        <w:t>b) Limitações de Vinculação</w:t>
      </w:r>
    </w:p>
    <w:p w14:paraId="2014333A" w14:textId="77777777" w:rsidR="00A837D4" w:rsidRPr="00A837D4" w:rsidRDefault="00A837D4" w:rsidP="00A837D4">
      <w:pPr>
        <w:numPr>
          <w:ilvl w:val="0"/>
          <w:numId w:val="14"/>
        </w:numPr>
      </w:pPr>
      <w:r w:rsidRPr="00A837D4">
        <w:t>Por não ser membro da OCDE, o Brasil não está sujeito às obrigações formais da organização. Mesmo assim, o país pode ser influenciado pela adesão de outros Estados e pelas pressões econômicas e políticas internacionais.</w:t>
      </w:r>
    </w:p>
    <w:p w14:paraId="0A582A14" w14:textId="77777777" w:rsidR="00A837D4" w:rsidRDefault="00A837D4" w:rsidP="00A837D4"/>
    <w:p w14:paraId="47FCAC1B" w14:textId="7BBC8571" w:rsidR="00A837D4" w:rsidRPr="00A837D4" w:rsidRDefault="00A837D4" w:rsidP="00A837D4">
      <w:pPr>
        <w:rPr>
          <w:b/>
          <w:bCs/>
        </w:rPr>
      </w:pPr>
      <w:r w:rsidRPr="00A837D4">
        <w:rPr>
          <w:b/>
          <w:bCs/>
        </w:rPr>
        <w:t>Interação entre Soft Law e Hard Law</w:t>
      </w:r>
    </w:p>
    <w:p w14:paraId="43635D3A" w14:textId="77777777" w:rsidR="00A837D4" w:rsidRPr="00A837D4" w:rsidRDefault="00A837D4" w:rsidP="00A837D4">
      <w:r w:rsidRPr="00A837D4">
        <w:t xml:space="preserve">Um ponto importante destacado no texto é que, embora as recomendações do BEPS sejam soft </w:t>
      </w:r>
      <w:proofErr w:type="spellStart"/>
      <w:r w:rsidRPr="00A837D4">
        <w:t>law</w:t>
      </w:r>
      <w:proofErr w:type="spellEnd"/>
      <w:r w:rsidRPr="00A837D4">
        <w:t xml:space="preserve"> (não obrigatórias), elas podem influenciar a criação de hard </w:t>
      </w:r>
      <w:proofErr w:type="spellStart"/>
      <w:r w:rsidRPr="00A837D4">
        <w:t>law</w:t>
      </w:r>
      <w:proofErr w:type="spellEnd"/>
      <w:r w:rsidRPr="00A837D4">
        <w:t>. Isso ocorre porque:</w:t>
      </w:r>
    </w:p>
    <w:p w14:paraId="55FC569B" w14:textId="77777777" w:rsidR="00A837D4" w:rsidRPr="00A837D4" w:rsidRDefault="00A837D4" w:rsidP="00A837D4">
      <w:pPr>
        <w:numPr>
          <w:ilvl w:val="0"/>
          <w:numId w:val="15"/>
        </w:numPr>
      </w:pPr>
      <w:r w:rsidRPr="00A837D4">
        <w:t>As práticas recomendadas pelo BEPS podem ser incorporadas em tratados internacionais (como convenções tributárias bilaterais) ou em legislações nacionais, passando a ter força vinculante.</w:t>
      </w:r>
    </w:p>
    <w:p w14:paraId="4C935EA9" w14:textId="77777777" w:rsidR="00A837D4" w:rsidRPr="00A837D4" w:rsidRDefault="00A837D4" w:rsidP="00A837D4">
      <w:pPr>
        <w:numPr>
          <w:ilvl w:val="0"/>
          <w:numId w:val="15"/>
        </w:numPr>
      </w:pPr>
      <w:r w:rsidRPr="00A837D4">
        <w:t>As relações de poder no sistema internacional podem "forçar" países como o Brasil a adotar essas medidas para evitar restrições comerciais ou prejuízos à sua competitividade.</w:t>
      </w:r>
    </w:p>
    <w:p w14:paraId="11CA2AE3" w14:textId="77777777" w:rsidR="00A837D4" w:rsidRDefault="00A837D4" w:rsidP="00A837D4"/>
    <w:p w14:paraId="316F2E74" w14:textId="07A9A276" w:rsidR="00A837D4" w:rsidRPr="00A837D4" w:rsidRDefault="00A837D4" w:rsidP="00A837D4">
      <w:pPr>
        <w:rPr>
          <w:b/>
          <w:bCs/>
        </w:rPr>
      </w:pPr>
      <w:r w:rsidRPr="00A837D4">
        <w:rPr>
          <w:b/>
          <w:bCs/>
        </w:rPr>
        <w:lastRenderedPageBreak/>
        <w:t>Impactos no Direito Tributário Internacional</w:t>
      </w:r>
    </w:p>
    <w:p w14:paraId="1155D835" w14:textId="77777777" w:rsidR="00A837D4" w:rsidRPr="00A837D4" w:rsidRDefault="00A837D4" w:rsidP="00A837D4">
      <w:r w:rsidRPr="00A837D4">
        <w:t xml:space="preserve">O BEPS busca fortalecer o "regime fiscal internacional", fundamentado no </w:t>
      </w:r>
      <w:r w:rsidRPr="00A837D4">
        <w:rPr>
          <w:b/>
          <w:bCs/>
        </w:rPr>
        <w:t xml:space="preserve">princípio da tributação justa (single </w:t>
      </w:r>
      <w:proofErr w:type="spellStart"/>
      <w:r w:rsidRPr="00A837D4">
        <w:rPr>
          <w:b/>
          <w:bCs/>
        </w:rPr>
        <w:t>tax</w:t>
      </w:r>
      <w:proofErr w:type="spellEnd"/>
      <w:r w:rsidRPr="00A837D4">
        <w:rPr>
          <w:b/>
          <w:bCs/>
        </w:rPr>
        <w:t xml:space="preserve"> </w:t>
      </w:r>
      <w:proofErr w:type="spellStart"/>
      <w:r w:rsidRPr="00A837D4">
        <w:rPr>
          <w:b/>
          <w:bCs/>
        </w:rPr>
        <w:t>principle</w:t>
      </w:r>
      <w:proofErr w:type="spellEnd"/>
      <w:r w:rsidRPr="00A837D4">
        <w:rPr>
          <w:b/>
          <w:bCs/>
        </w:rPr>
        <w:t>)</w:t>
      </w:r>
      <w:r w:rsidRPr="00A837D4">
        <w:t>, ou seja, assegurar que a renda seja tributada uma vez, e apenas uma vez, em alguma jurisdição. Para isso, propõe mecanismos de transparência, cooperação internacional e combate a práticas fiscais abusivas.</w:t>
      </w:r>
    </w:p>
    <w:p w14:paraId="35E267F0" w14:textId="77777777" w:rsidR="00A837D4" w:rsidRDefault="00A837D4" w:rsidP="00A837D4"/>
    <w:p w14:paraId="289C8F90" w14:textId="7DA173BF" w:rsidR="00A837D4" w:rsidRDefault="00A837D4" w:rsidP="00A837D4">
      <w:pPr>
        <w:rPr>
          <w:b/>
          <w:bCs/>
        </w:rPr>
      </w:pPr>
      <w:r w:rsidRPr="00A837D4">
        <w:rPr>
          <w:b/>
          <w:bCs/>
        </w:rPr>
        <w:t>Conclusão</w:t>
      </w:r>
    </w:p>
    <w:p w14:paraId="2EDD3B9E" w14:textId="77777777" w:rsidR="00A837D4" w:rsidRPr="00A837D4" w:rsidRDefault="00A837D4" w:rsidP="00A837D4">
      <w:pPr>
        <w:rPr>
          <w:b/>
          <w:bCs/>
        </w:rPr>
      </w:pPr>
    </w:p>
    <w:p w14:paraId="193C47C1" w14:textId="2E14F9A3" w:rsidR="00A837D4" w:rsidRDefault="00A837D4" w:rsidP="00A837D4">
      <w:r w:rsidRPr="00A837D4">
        <w:t>O</w:t>
      </w:r>
      <w:r>
        <w:t xml:space="preserve">s autores </w:t>
      </w:r>
      <w:r w:rsidRPr="00A837D4">
        <w:t>conecta</w:t>
      </w:r>
      <w:r>
        <w:t>m</w:t>
      </w:r>
      <w:r w:rsidRPr="00A837D4">
        <w:t xml:space="preserve"> as fontes do Direito Internacional Público às implicações práticas do Projeto BEPS no Direito Tributário Internacional. A relação entre soft </w:t>
      </w:r>
      <w:proofErr w:type="spellStart"/>
      <w:r w:rsidRPr="00A837D4">
        <w:t>law</w:t>
      </w:r>
      <w:proofErr w:type="spellEnd"/>
      <w:r w:rsidRPr="00A837D4">
        <w:t xml:space="preserve"> e hard </w:t>
      </w:r>
      <w:proofErr w:type="spellStart"/>
      <w:r w:rsidRPr="00A837D4">
        <w:t>law</w:t>
      </w:r>
      <w:proofErr w:type="spellEnd"/>
      <w:r w:rsidRPr="00A837D4">
        <w:t xml:space="preserve"> é central para entender como o BEPS, embora não seja vinculante, pode moldar normas obrigatórias e práticas tributárias globais. Para o Brasil, a adesão parcial ao BEPS reflete uma tentativa de equilibrar soberania tributária e alinhamento com padrões internacionais, sem perder de vista os impactos econômicos e políticos dessa decisão.</w:t>
      </w:r>
    </w:p>
    <w:p w14:paraId="21173562" w14:textId="77777777" w:rsidR="00A837D4" w:rsidRDefault="00A837D4" w:rsidP="00A837D4"/>
    <w:p w14:paraId="48735846" w14:textId="0175D91F" w:rsidR="00A837D4" w:rsidRPr="00A837D4" w:rsidRDefault="00A837D4" w:rsidP="00A837D4">
      <w:r>
        <w:t xml:space="preserve">Portanto, diante disso, é possível dizer que </w:t>
      </w:r>
      <w:r w:rsidRPr="00A837D4">
        <w:rPr>
          <w:b/>
          <w:bCs/>
        </w:rPr>
        <w:t>comentários ao Modelo OCDE não são juridicamente vinculantes</w:t>
      </w:r>
      <w:r w:rsidRPr="00A837D4">
        <w:t xml:space="preserve">, uma vez que são classificados como instrumentos de </w:t>
      </w:r>
      <w:r w:rsidRPr="00A837D4">
        <w:rPr>
          <w:b/>
          <w:bCs/>
        </w:rPr>
        <w:t xml:space="preserve">soft </w:t>
      </w:r>
      <w:proofErr w:type="spellStart"/>
      <w:r w:rsidRPr="00A837D4">
        <w:rPr>
          <w:b/>
          <w:bCs/>
        </w:rPr>
        <w:t>law</w:t>
      </w:r>
      <w:proofErr w:type="spellEnd"/>
      <w:r w:rsidRPr="00A837D4">
        <w:t xml:space="preserve">. No entanto, possuem </w:t>
      </w:r>
      <w:r w:rsidRPr="00A837D4">
        <w:rPr>
          <w:b/>
          <w:bCs/>
        </w:rPr>
        <w:t>forte influência interpretativa</w:t>
      </w:r>
      <w:r w:rsidRPr="00A837D4">
        <w:t xml:space="preserve"> devido à sua legitimidade e ampla aceitação no âmbito internacional. Essa força interpretativa deriva de:</w:t>
      </w:r>
    </w:p>
    <w:p w14:paraId="0C0E3FFD" w14:textId="77777777" w:rsidR="00A837D4" w:rsidRPr="00A837D4" w:rsidRDefault="00A837D4" w:rsidP="00A837D4">
      <w:pPr>
        <w:numPr>
          <w:ilvl w:val="0"/>
          <w:numId w:val="16"/>
        </w:numPr>
      </w:pPr>
      <w:r w:rsidRPr="00A837D4">
        <w:rPr>
          <w:b/>
          <w:bCs/>
        </w:rPr>
        <w:t>Aceitação pelos países membros da OCDE</w:t>
      </w:r>
      <w:r w:rsidRPr="00A837D4">
        <w:t xml:space="preserve"> e até mesmo por alguns não membros.</w:t>
      </w:r>
    </w:p>
    <w:p w14:paraId="19B97620" w14:textId="77777777" w:rsidR="00A837D4" w:rsidRPr="00A837D4" w:rsidRDefault="00A837D4" w:rsidP="00A837D4">
      <w:pPr>
        <w:numPr>
          <w:ilvl w:val="0"/>
          <w:numId w:val="16"/>
        </w:numPr>
      </w:pPr>
      <w:r w:rsidRPr="00A837D4">
        <w:t>Reconhecimento por tribunais internacionais e autoridades fiscais como uma referência interpretativa.</w:t>
      </w:r>
    </w:p>
    <w:p w14:paraId="429CB5F2" w14:textId="77777777" w:rsidR="00A837D4" w:rsidRPr="00A837D4" w:rsidRDefault="00A837D4" w:rsidP="00A837D4">
      <w:r w:rsidRPr="00A837D4">
        <w:t xml:space="preserve">Embora o Brasil </w:t>
      </w:r>
      <w:r w:rsidRPr="00A837D4">
        <w:rPr>
          <w:b/>
          <w:bCs/>
        </w:rPr>
        <w:t>não seja membro da OCDE</w:t>
      </w:r>
      <w:r w:rsidRPr="00A837D4">
        <w:t xml:space="preserve">, utiliza o Modelo OCDE como base para a negociação de tratados tributários bilaterais, mas com </w:t>
      </w:r>
      <w:r w:rsidRPr="00A837D4">
        <w:rPr>
          <w:b/>
          <w:bCs/>
        </w:rPr>
        <w:t>reservas importantes aos comentários</w:t>
      </w:r>
      <w:r w:rsidRPr="00A837D4">
        <w:t>. O Brasil possui uma abordagem diferenciada:</w:t>
      </w:r>
    </w:p>
    <w:p w14:paraId="10FCDC95" w14:textId="77777777" w:rsidR="00A837D4" w:rsidRPr="00A837D4" w:rsidRDefault="00A837D4" w:rsidP="00A837D4">
      <w:pPr>
        <w:numPr>
          <w:ilvl w:val="0"/>
          <w:numId w:val="17"/>
        </w:numPr>
      </w:pPr>
      <w:r w:rsidRPr="00A837D4">
        <w:rPr>
          <w:b/>
          <w:bCs/>
        </w:rPr>
        <w:t>Adesão Parcial ao Modelo OCDE</w:t>
      </w:r>
      <w:r w:rsidRPr="00A837D4">
        <w:t>:</w:t>
      </w:r>
    </w:p>
    <w:p w14:paraId="4FA70789" w14:textId="77777777" w:rsidR="00A837D4" w:rsidRPr="00A837D4" w:rsidRDefault="00A837D4" w:rsidP="00A837D4">
      <w:pPr>
        <w:numPr>
          <w:ilvl w:val="1"/>
          <w:numId w:val="17"/>
        </w:numPr>
      </w:pPr>
      <w:r w:rsidRPr="00A837D4">
        <w:t>O Brasil adota o Modelo OCDE em muitos aspectos, mas faz reservas a várias de suas interpretações e práticas. Por exemplo:</w:t>
      </w:r>
    </w:p>
    <w:p w14:paraId="55D8F094" w14:textId="77777777" w:rsidR="00A837D4" w:rsidRPr="00A837D4" w:rsidRDefault="00A837D4" w:rsidP="00A837D4">
      <w:pPr>
        <w:numPr>
          <w:ilvl w:val="2"/>
          <w:numId w:val="17"/>
        </w:numPr>
      </w:pPr>
      <w:r w:rsidRPr="00A837D4">
        <w:t xml:space="preserve">O Brasil enfatiza o </w:t>
      </w:r>
      <w:r w:rsidRPr="00A837D4">
        <w:rPr>
          <w:b/>
          <w:bCs/>
        </w:rPr>
        <w:t>critério de fonte (tributação no local de geração da renda)</w:t>
      </w:r>
      <w:r w:rsidRPr="00A837D4">
        <w:t>, diferentemente da abordagem OCDE, que prioriza o critério de residência.</w:t>
      </w:r>
    </w:p>
    <w:p w14:paraId="7E92477C" w14:textId="77777777" w:rsidR="00A837D4" w:rsidRPr="00A837D4" w:rsidRDefault="00A837D4" w:rsidP="00A837D4">
      <w:pPr>
        <w:numPr>
          <w:ilvl w:val="0"/>
          <w:numId w:val="17"/>
        </w:numPr>
      </w:pPr>
      <w:r w:rsidRPr="00A837D4">
        <w:rPr>
          <w:b/>
          <w:bCs/>
        </w:rPr>
        <w:t>Reservas aos Comentários</w:t>
      </w:r>
      <w:r w:rsidRPr="00A837D4">
        <w:t>:</w:t>
      </w:r>
    </w:p>
    <w:p w14:paraId="4CCD6B90" w14:textId="77777777" w:rsidR="00A837D4" w:rsidRPr="00A837D4" w:rsidRDefault="00A837D4" w:rsidP="00A837D4">
      <w:pPr>
        <w:numPr>
          <w:ilvl w:val="1"/>
          <w:numId w:val="17"/>
        </w:numPr>
      </w:pPr>
      <w:r w:rsidRPr="00A837D4">
        <w:t>Ao negociar tratados, o Brasil frequentemente se posiciona contra interpretações específicas dos comentários da OCDE, especialmente aquelas que podem prejudicar sua arrecadação tributária.</w:t>
      </w:r>
    </w:p>
    <w:p w14:paraId="7FA4558A" w14:textId="77777777" w:rsidR="00A837D4" w:rsidRPr="00A837D4" w:rsidRDefault="00A837D4" w:rsidP="00A837D4">
      <w:pPr>
        <w:numPr>
          <w:ilvl w:val="1"/>
          <w:numId w:val="17"/>
        </w:numPr>
      </w:pPr>
      <w:r w:rsidRPr="00A837D4">
        <w:t>Essas reservas refletem a preocupação do Brasil em proteger sua base tributária, dado o contexto econômico e fiscal de um país em desenvolvimento.</w:t>
      </w:r>
    </w:p>
    <w:p w14:paraId="5E72945B" w14:textId="77777777" w:rsidR="00A837D4" w:rsidRPr="00A837D4" w:rsidRDefault="00A837D4" w:rsidP="00A837D4">
      <w:pPr>
        <w:numPr>
          <w:ilvl w:val="0"/>
          <w:numId w:val="17"/>
        </w:numPr>
      </w:pPr>
      <w:r w:rsidRPr="00A837D4">
        <w:rPr>
          <w:b/>
          <w:bCs/>
        </w:rPr>
        <w:lastRenderedPageBreak/>
        <w:t>Utilização como Referência</w:t>
      </w:r>
      <w:r w:rsidRPr="00A837D4">
        <w:t>:</w:t>
      </w:r>
    </w:p>
    <w:p w14:paraId="6CB23F66" w14:textId="77777777" w:rsidR="00A837D4" w:rsidRPr="00A837D4" w:rsidRDefault="00A837D4" w:rsidP="00A837D4">
      <w:pPr>
        <w:numPr>
          <w:ilvl w:val="1"/>
          <w:numId w:val="17"/>
        </w:numPr>
      </w:pPr>
      <w:r w:rsidRPr="00A837D4">
        <w:t xml:space="preserve">Apesar das reservas, o Brasil utiliza os comentários como uma ferramenta de </w:t>
      </w:r>
      <w:r w:rsidRPr="00A837D4">
        <w:rPr>
          <w:b/>
          <w:bCs/>
        </w:rPr>
        <w:t>interpretação subsidiária</w:t>
      </w:r>
      <w:r w:rsidRPr="00A837D4">
        <w:t xml:space="preserve"> para questões não cobertas diretamente pela legislação nacional ou pelos tratados bilaterais.</w:t>
      </w:r>
    </w:p>
    <w:p w14:paraId="4BCD83E2" w14:textId="7AF5595A" w:rsidR="00A837D4" w:rsidRDefault="00A837D4" w:rsidP="00A837D4"/>
    <w:p w14:paraId="61A2FEE1" w14:textId="77777777" w:rsidR="00A837D4" w:rsidRPr="00A837D4" w:rsidRDefault="00A837D4" w:rsidP="00A837D4">
      <w:pPr>
        <w:rPr>
          <w:b/>
          <w:bCs/>
        </w:rPr>
      </w:pPr>
      <w:r w:rsidRPr="00A837D4">
        <w:rPr>
          <w:b/>
          <w:bCs/>
        </w:rPr>
        <w:t>Função dos Comentários ao Modelo OCDE</w:t>
      </w:r>
    </w:p>
    <w:p w14:paraId="4518E703" w14:textId="77777777" w:rsidR="00A837D4" w:rsidRPr="00A837D4" w:rsidRDefault="00A837D4" w:rsidP="00A837D4">
      <w:r w:rsidRPr="00A837D4">
        <w:t xml:space="preserve">Os </w:t>
      </w:r>
      <w:r w:rsidRPr="00A837D4">
        <w:rPr>
          <w:b/>
          <w:bCs/>
        </w:rPr>
        <w:t>comentários ao Modelo de Convenção da OCDE</w:t>
      </w:r>
      <w:r w:rsidRPr="00A837D4">
        <w:t xml:space="preserve"> desempenham um papel essencial na interpretação e aplicação de tratados internacionais tributários. Suas principais funções são:</w:t>
      </w:r>
    </w:p>
    <w:p w14:paraId="67633FCB" w14:textId="77777777" w:rsidR="00A837D4" w:rsidRPr="00A837D4" w:rsidRDefault="00A837D4" w:rsidP="00A837D4">
      <w:pPr>
        <w:numPr>
          <w:ilvl w:val="0"/>
          <w:numId w:val="18"/>
        </w:numPr>
      </w:pPr>
      <w:r w:rsidRPr="00A837D4">
        <w:rPr>
          <w:b/>
          <w:bCs/>
        </w:rPr>
        <w:t>Guia de Interpretação</w:t>
      </w:r>
      <w:r w:rsidRPr="00A837D4">
        <w:t>:</w:t>
      </w:r>
    </w:p>
    <w:p w14:paraId="6593498D" w14:textId="77777777" w:rsidR="00A837D4" w:rsidRPr="00A837D4" w:rsidRDefault="00A837D4" w:rsidP="00A837D4">
      <w:pPr>
        <w:numPr>
          <w:ilvl w:val="1"/>
          <w:numId w:val="18"/>
        </w:numPr>
      </w:pPr>
      <w:r w:rsidRPr="00A837D4">
        <w:t xml:space="preserve">Os comentários auxiliam na interpretação das cláusulas do </w:t>
      </w:r>
      <w:r w:rsidRPr="00A837D4">
        <w:rPr>
          <w:b/>
          <w:bCs/>
        </w:rPr>
        <w:t>Modelo de Convenção da OCDE</w:t>
      </w:r>
      <w:r w:rsidRPr="00A837D4">
        <w:t>, que serve como referência para a negociação de tratados bilaterais. Eles explicam as intenções por trás das disposições e orientam os países na redação e aplicação prática dos tratados.</w:t>
      </w:r>
    </w:p>
    <w:p w14:paraId="5E799B42" w14:textId="77777777" w:rsidR="00A837D4" w:rsidRPr="00A837D4" w:rsidRDefault="00A837D4" w:rsidP="00A837D4">
      <w:pPr>
        <w:numPr>
          <w:ilvl w:val="0"/>
          <w:numId w:val="18"/>
        </w:numPr>
      </w:pPr>
      <w:r w:rsidRPr="00A837D4">
        <w:rPr>
          <w:b/>
          <w:bCs/>
        </w:rPr>
        <w:t>Harmonização de Práticas</w:t>
      </w:r>
      <w:r w:rsidRPr="00A837D4">
        <w:t>:</w:t>
      </w:r>
    </w:p>
    <w:p w14:paraId="7A462889" w14:textId="77777777" w:rsidR="00A837D4" w:rsidRPr="00A837D4" w:rsidRDefault="00A837D4" w:rsidP="00A837D4">
      <w:pPr>
        <w:numPr>
          <w:ilvl w:val="1"/>
          <w:numId w:val="18"/>
        </w:numPr>
      </w:pPr>
      <w:r w:rsidRPr="00A837D4">
        <w:t xml:space="preserve">Promovem a uniformidade no entendimento e aplicação das regras tributárias internacionais, especialmente em áreas sensíveis como </w:t>
      </w:r>
      <w:r w:rsidRPr="00A837D4">
        <w:rPr>
          <w:b/>
          <w:bCs/>
        </w:rPr>
        <w:t>preços de transferência</w:t>
      </w:r>
      <w:r w:rsidRPr="00A837D4">
        <w:t>, eliminação de dupla tributação e combate à evasão fiscal.</w:t>
      </w:r>
    </w:p>
    <w:p w14:paraId="708E0FBF" w14:textId="77777777" w:rsidR="00A837D4" w:rsidRPr="00A837D4" w:rsidRDefault="00A837D4" w:rsidP="00A837D4">
      <w:pPr>
        <w:numPr>
          <w:ilvl w:val="0"/>
          <w:numId w:val="18"/>
        </w:numPr>
      </w:pPr>
      <w:r w:rsidRPr="00A837D4">
        <w:rPr>
          <w:b/>
          <w:bCs/>
        </w:rPr>
        <w:t>Resolução de Controvérsias</w:t>
      </w:r>
      <w:r w:rsidRPr="00A837D4">
        <w:t>:</w:t>
      </w:r>
    </w:p>
    <w:p w14:paraId="14FEF585" w14:textId="77777777" w:rsidR="00A837D4" w:rsidRPr="00A837D4" w:rsidRDefault="00A837D4" w:rsidP="00A837D4">
      <w:pPr>
        <w:numPr>
          <w:ilvl w:val="1"/>
          <w:numId w:val="18"/>
        </w:numPr>
      </w:pPr>
      <w:r w:rsidRPr="00A837D4">
        <w:t>São amplamente utilizados por tribunais e autoridades fiscais em disputas internacionais para interpretar disposições de tratados tributários bilaterais.</w:t>
      </w:r>
    </w:p>
    <w:p w14:paraId="04D52EEC" w14:textId="77777777" w:rsidR="00A837D4" w:rsidRDefault="00A837D4" w:rsidP="00A837D4"/>
    <w:p w14:paraId="51C702BA" w14:textId="3DC33501" w:rsidR="00A837D4" w:rsidRPr="00A837D4" w:rsidRDefault="00A837D4" w:rsidP="00A837D4">
      <w:pPr>
        <w:rPr>
          <w:b/>
          <w:bCs/>
        </w:rPr>
      </w:pPr>
      <w:r w:rsidRPr="00A837D4">
        <w:rPr>
          <w:b/>
          <w:bCs/>
        </w:rPr>
        <w:t>Os Comentários São Vinculantes?</w:t>
      </w:r>
    </w:p>
    <w:p w14:paraId="5AC06BC4" w14:textId="77777777" w:rsidR="00A837D4" w:rsidRPr="00A837D4" w:rsidRDefault="00A837D4" w:rsidP="00A837D4">
      <w:r w:rsidRPr="00A837D4">
        <w:t xml:space="preserve">Os </w:t>
      </w:r>
      <w:r w:rsidRPr="00A837D4">
        <w:rPr>
          <w:b/>
          <w:bCs/>
        </w:rPr>
        <w:t>comentários ao Modelo OCDE não são juridicamente vinculantes</w:t>
      </w:r>
      <w:r w:rsidRPr="00A837D4">
        <w:t xml:space="preserve">, uma vez que são classificados como instrumentos de </w:t>
      </w:r>
      <w:r w:rsidRPr="00A837D4">
        <w:rPr>
          <w:b/>
          <w:bCs/>
        </w:rPr>
        <w:t xml:space="preserve">soft </w:t>
      </w:r>
      <w:proofErr w:type="spellStart"/>
      <w:r w:rsidRPr="00A837D4">
        <w:rPr>
          <w:b/>
          <w:bCs/>
        </w:rPr>
        <w:t>law</w:t>
      </w:r>
      <w:proofErr w:type="spellEnd"/>
      <w:r w:rsidRPr="00A837D4">
        <w:t xml:space="preserve">. No entanto, possuem </w:t>
      </w:r>
      <w:r w:rsidRPr="00A837D4">
        <w:rPr>
          <w:b/>
          <w:bCs/>
        </w:rPr>
        <w:t>forte influência interpretativa</w:t>
      </w:r>
      <w:r w:rsidRPr="00A837D4">
        <w:t xml:space="preserve"> devido à sua legitimidade e ampla aceitação no âmbito internacional. Essa força interpretativa deriva de:</w:t>
      </w:r>
    </w:p>
    <w:p w14:paraId="22F32202" w14:textId="77777777" w:rsidR="00A837D4" w:rsidRPr="00A837D4" w:rsidRDefault="00A837D4" w:rsidP="00A837D4">
      <w:pPr>
        <w:numPr>
          <w:ilvl w:val="0"/>
          <w:numId w:val="19"/>
        </w:numPr>
      </w:pPr>
      <w:r w:rsidRPr="00A837D4">
        <w:rPr>
          <w:b/>
          <w:bCs/>
        </w:rPr>
        <w:t>Aceitação pelos países membros da OCDE</w:t>
      </w:r>
      <w:r w:rsidRPr="00A837D4">
        <w:t xml:space="preserve"> e até mesmo por alguns não membros.</w:t>
      </w:r>
    </w:p>
    <w:p w14:paraId="646C7E77" w14:textId="77777777" w:rsidR="00A837D4" w:rsidRPr="00A837D4" w:rsidRDefault="00A837D4" w:rsidP="00A837D4">
      <w:pPr>
        <w:numPr>
          <w:ilvl w:val="0"/>
          <w:numId w:val="19"/>
        </w:numPr>
      </w:pPr>
      <w:r w:rsidRPr="00A837D4">
        <w:t>Reconhecimento por tribunais internacionais e autoridades fiscais como uma referência interpretativa.</w:t>
      </w:r>
    </w:p>
    <w:p w14:paraId="5804732C" w14:textId="77777777" w:rsidR="00A837D4" w:rsidRDefault="00A837D4" w:rsidP="00A837D4"/>
    <w:p w14:paraId="7B6BF6C8" w14:textId="6289B57D" w:rsidR="00A837D4" w:rsidRPr="00A837D4" w:rsidRDefault="00A837D4" w:rsidP="00A837D4">
      <w:pPr>
        <w:rPr>
          <w:b/>
          <w:bCs/>
        </w:rPr>
      </w:pPr>
      <w:r w:rsidRPr="00A837D4">
        <w:rPr>
          <w:b/>
          <w:bCs/>
        </w:rPr>
        <w:t>O Brasil e os Comentários ao Modelo OCDE</w:t>
      </w:r>
    </w:p>
    <w:p w14:paraId="77E740C0" w14:textId="77777777" w:rsidR="00A837D4" w:rsidRPr="00A837D4" w:rsidRDefault="00A837D4" w:rsidP="00A837D4">
      <w:r w:rsidRPr="00A837D4">
        <w:t xml:space="preserve">Embora o Brasil </w:t>
      </w:r>
      <w:r w:rsidRPr="00A837D4">
        <w:rPr>
          <w:b/>
          <w:bCs/>
        </w:rPr>
        <w:t>não seja membro da OCDE</w:t>
      </w:r>
      <w:r w:rsidRPr="00A837D4">
        <w:t xml:space="preserve">, utiliza o Modelo OCDE como base para a negociação de tratados tributários bilaterais, mas com </w:t>
      </w:r>
      <w:r w:rsidRPr="00A837D4">
        <w:rPr>
          <w:b/>
          <w:bCs/>
        </w:rPr>
        <w:t>reservas importantes aos comentários</w:t>
      </w:r>
      <w:r w:rsidRPr="00A837D4">
        <w:t>. O Brasil possui uma abordagem diferenciada:</w:t>
      </w:r>
    </w:p>
    <w:p w14:paraId="7DAC0DBE" w14:textId="77777777" w:rsidR="00A837D4" w:rsidRPr="00A837D4" w:rsidRDefault="00A837D4" w:rsidP="00A837D4">
      <w:pPr>
        <w:numPr>
          <w:ilvl w:val="0"/>
          <w:numId w:val="20"/>
        </w:numPr>
      </w:pPr>
      <w:r w:rsidRPr="00A837D4">
        <w:rPr>
          <w:b/>
          <w:bCs/>
        </w:rPr>
        <w:lastRenderedPageBreak/>
        <w:t>Adesão Parcial ao Modelo OCDE</w:t>
      </w:r>
      <w:r w:rsidRPr="00A837D4">
        <w:t>:</w:t>
      </w:r>
    </w:p>
    <w:p w14:paraId="4C9825F0" w14:textId="77777777" w:rsidR="00A837D4" w:rsidRPr="00A837D4" w:rsidRDefault="00A837D4" w:rsidP="00A837D4">
      <w:pPr>
        <w:numPr>
          <w:ilvl w:val="1"/>
          <w:numId w:val="20"/>
        </w:numPr>
      </w:pPr>
      <w:r w:rsidRPr="00A837D4">
        <w:t>O Brasil adota o Modelo OCDE em muitos aspectos, mas faz reservas a várias de suas interpretações e práticas. Por exemplo:</w:t>
      </w:r>
    </w:p>
    <w:p w14:paraId="03F44208" w14:textId="77777777" w:rsidR="00A837D4" w:rsidRPr="00A837D4" w:rsidRDefault="00A837D4" w:rsidP="00A837D4">
      <w:pPr>
        <w:numPr>
          <w:ilvl w:val="2"/>
          <w:numId w:val="20"/>
        </w:numPr>
      </w:pPr>
      <w:r w:rsidRPr="00A837D4">
        <w:t xml:space="preserve">O Brasil enfatiza o </w:t>
      </w:r>
      <w:r w:rsidRPr="00A837D4">
        <w:rPr>
          <w:b/>
          <w:bCs/>
        </w:rPr>
        <w:t>critério de fonte (tributação no local de geração da renda)</w:t>
      </w:r>
      <w:r w:rsidRPr="00A837D4">
        <w:t>, diferentemente da abordagem OCDE, que prioriza o critério de residência.</w:t>
      </w:r>
    </w:p>
    <w:p w14:paraId="4C95D837" w14:textId="77777777" w:rsidR="00A837D4" w:rsidRPr="00A837D4" w:rsidRDefault="00A837D4" w:rsidP="00A837D4">
      <w:pPr>
        <w:numPr>
          <w:ilvl w:val="0"/>
          <w:numId w:val="20"/>
        </w:numPr>
      </w:pPr>
      <w:r w:rsidRPr="00A837D4">
        <w:rPr>
          <w:b/>
          <w:bCs/>
        </w:rPr>
        <w:t>Reservas aos Comentários</w:t>
      </w:r>
      <w:r w:rsidRPr="00A837D4">
        <w:t>:</w:t>
      </w:r>
    </w:p>
    <w:p w14:paraId="2B948F5F" w14:textId="77777777" w:rsidR="00A837D4" w:rsidRPr="00A837D4" w:rsidRDefault="00A837D4" w:rsidP="00A837D4">
      <w:pPr>
        <w:numPr>
          <w:ilvl w:val="1"/>
          <w:numId w:val="20"/>
        </w:numPr>
      </w:pPr>
      <w:r w:rsidRPr="00A837D4">
        <w:t>Ao negociar tratados, o Brasil frequentemente se posiciona contra interpretações específicas dos comentários da OCDE, especialmente aquelas que podem prejudicar sua arrecadação tributária.</w:t>
      </w:r>
    </w:p>
    <w:p w14:paraId="7D4CFDBC" w14:textId="77777777" w:rsidR="00A837D4" w:rsidRPr="00A837D4" w:rsidRDefault="00A837D4" w:rsidP="00A837D4">
      <w:pPr>
        <w:numPr>
          <w:ilvl w:val="1"/>
          <w:numId w:val="20"/>
        </w:numPr>
      </w:pPr>
      <w:r w:rsidRPr="00A837D4">
        <w:t>Essas reservas refletem a preocupação do Brasil em proteger sua base tributária, dado o contexto econômico e fiscal de um país em desenvolvimento.</w:t>
      </w:r>
    </w:p>
    <w:p w14:paraId="0DAF076B" w14:textId="77777777" w:rsidR="00A837D4" w:rsidRPr="00A837D4" w:rsidRDefault="00A837D4" w:rsidP="00A837D4">
      <w:pPr>
        <w:numPr>
          <w:ilvl w:val="0"/>
          <w:numId w:val="20"/>
        </w:numPr>
      </w:pPr>
      <w:r w:rsidRPr="00A837D4">
        <w:rPr>
          <w:b/>
          <w:bCs/>
        </w:rPr>
        <w:t>Utilização como Referência</w:t>
      </w:r>
      <w:r w:rsidRPr="00A837D4">
        <w:t>:</w:t>
      </w:r>
    </w:p>
    <w:p w14:paraId="0EBC3990" w14:textId="77777777" w:rsidR="00A837D4" w:rsidRPr="00A837D4" w:rsidRDefault="00A837D4" w:rsidP="00A837D4">
      <w:pPr>
        <w:numPr>
          <w:ilvl w:val="1"/>
          <w:numId w:val="20"/>
        </w:numPr>
      </w:pPr>
      <w:r w:rsidRPr="00A837D4">
        <w:t xml:space="preserve">Apesar das reservas, o Brasil utiliza os comentários como uma ferramenta de </w:t>
      </w:r>
      <w:r w:rsidRPr="00A837D4">
        <w:rPr>
          <w:b/>
          <w:bCs/>
        </w:rPr>
        <w:t>interpretação subsidiária</w:t>
      </w:r>
      <w:r w:rsidRPr="00A837D4">
        <w:t xml:space="preserve"> para questões não cobertas diretamente pela legislação nacional ou pelos tratados bilaterais.</w:t>
      </w:r>
    </w:p>
    <w:p w14:paraId="111B61F5" w14:textId="77777777" w:rsidR="00A837D4" w:rsidRDefault="00A837D4" w:rsidP="00A837D4"/>
    <w:p w14:paraId="1E202AE0" w14:textId="3864E113" w:rsidR="00A837D4" w:rsidRPr="00A837D4" w:rsidRDefault="00A837D4" w:rsidP="00A837D4">
      <w:pPr>
        <w:rPr>
          <w:b/>
          <w:bCs/>
        </w:rPr>
      </w:pPr>
      <w:r w:rsidRPr="00A837D4">
        <w:rPr>
          <w:b/>
          <w:bCs/>
        </w:rPr>
        <w:t>Implicações da Não Vinculação para o Brasil</w:t>
      </w:r>
    </w:p>
    <w:p w14:paraId="53198307" w14:textId="77777777" w:rsidR="00A837D4" w:rsidRPr="00A837D4" w:rsidRDefault="00A837D4" w:rsidP="00A837D4">
      <w:pPr>
        <w:numPr>
          <w:ilvl w:val="0"/>
          <w:numId w:val="21"/>
        </w:numPr>
      </w:pPr>
      <w:r w:rsidRPr="00A837D4">
        <w:rPr>
          <w:b/>
          <w:bCs/>
        </w:rPr>
        <w:t>Flexibilidade</w:t>
      </w:r>
      <w:r w:rsidRPr="00A837D4">
        <w:t>:</w:t>
      </w:r>
    </w:p>
    <w:p w14:paraId="14C49177" w14:textId="77777777" w:rsidR="00A837D4" w:rsidRPr="00A837D4" w:rsidRDefault="00A837D4" w:rsidP="00A837D4">
      <w:pPr>
        <w:numPr>
          <w:ilvl w:val="1"/>
          <w:numId w:val="21"/>
        </w:numPr>
      </w:pPr>
      <w:r w:rsidRPr="00A837D4">
        <w:t>O Brasil não está obrigado a adotar ou aplicar as interpretações dos comentários ao Modelo OCDE, já que não é membro da organização.</w:t>
      </w:r>
    </w:p>
    <w:p w14:paraId="540D479D" w14:textId="77777777" w:rsidR="00A837D4" w:rsidRPr="00A837D4" w:rsidRDefault="00A837D4" w:rsidP="00A837D4">
      <w:pPr>
        <w:numPr>
          <w:ilvl w:val="1"/>
          <w:numId w:val="21"/>
        </w:numPr>
      </w:pPr>
      <w:r w:rsidRPr="00A837D4">
        <w:t>Isso permite ao país adaptar as disposições do modelo às suas realidades e objetivos fiscais, como ocorre no combate à erosão de base tributária.</w:t>
      </w:r>
    </w:p>
    <w:p w14:paraId="1C813385" w14:textId="77777777" w:rsidR="00A837D4" w:rsidRPr="00A837D4" w:rsidRDefault="00A837D4" w:rsidP="00A837D4">
      <w:pPr>
        <w:numPr>
          <w:ilvl w:val="0"/>
          <w:numId w:val="21"/>
        </w:numPr>
      </w:pPr>
      <w:r w:rsidRPr="00A837D4">
        <w:rPr>
          <w:b/>
          <w:bCs/>
        </w:rPr>
        <w:t>Influência Prática</w:t>
      </w:r>
      <w:r w:rsidRPr="00A837D4">
        <w:t>:</w:t>
      </w:r>
    </w:p>
    <w:p w14:paraId="23A234DC" w14:textId="77777777" w:rsidR="00A837D4" w:rsidRPr="00A837D4" w:rsidRDefault="00A837D4" w:rsidP="00A837D4">
      <w:pPr>
        <w:numPr>
          <w:ilvl w:val="1"/>
          <w:numId w:val="21"/>
        </w:numPr>
      </w:pPr>
      <w:r w:rsidRPr="00A837D4">
        <w:t>Embora não vinculantes, os comentários ao Modelo OCDE exercem uma influência prática no Brasil, especialmente em contextos onde o país busca alinhamento com práticas internacionais para atrair investimento estrangeiro.</w:t>
      </w:r>
    </w:p>
    <w:p w14:paraId="20D29099" w14:textId="77777777" w:rsidR="00A837D4" w:rsidRPr="00A837D4" w:rsidRDefault="00A837D4" w:rsidP="00A837D4">
      <w:pPr>
        <w:numPr>
          <w:ilvl w:val="0"/>
          <w:numId w:val="21"/>
        </w:numPr>
      </w:pPr>
      <w:r w:rsidRPr="00A837D4">
        <w:rPr>
          <w:b/>
          <w:bCs/>
        </w:rPr>
        <w:t>Participação Parcial no BEPS</w:t>
      </w:r>
      <w:r w:rsidRPr="00A837D4">
        <w:t>:</w:t>
      </w:r>
    </w:p>
    <w:p w14:paraId="49020BA8" w14:textId="77777777" w:rsidR="00A837D4" w:rsidRPr="00A837D4" w:rsidRDefault="00A837D4" w:rsidP="00A837D4">
      <w:pPr>
        <w:numPr>
          <w:ilvl w:val="1"/>
          <w:numId w:val="21"/>
        </w:numPr>
      </w:pPr>
      <w:r w:rsidRPr="00A837D4">
        <w:t>O Brasil participa de iniciativas como o Projeto BEPS da OCDE e do G20, mas o faz de forma seletiva, adotando algumas práticas e rejeitando outras, conforme seu interesse.</w:t>
      </w:r>
    </w:p>
    <w:p w14:paraId="67F45DC1" w14:textId="77777777" w:rsidR="00A837D4" w:rsidRDefault="00A837D4" w:rsidP="00A837D4"/>
    <w:p w14:paraId="582973FC" w14:textId="77777777" w:rsidR="00A837D4" w:rsidRPr="00A837D4" w:rsidRDefault="00A837D4" w:rsidP="00A837D4">
      <w:r w:rsidRPr="00A837D4">
        <w:t xml:space="preserve">Os </w:t>
      </w:r>
      <w:r w:rsidRPr="00A837D4">
        <w:rPr>
          <w:b/>
          <w:bCs/>
        </w:rPr>
        <w:t>comentários ao Modelo OCDE não são vinculantes</w:t>
      </w:r>
      <w:r w:rsidRPr="00A837D4">
        <w:t xml:space="preserve">, mas possuem uma função interpretativa crucial no Direito Tributário Internacional. Para o Brasil, que não é membro da OCDE, esses comentários servem como </w:t>
      </w:r>
      <w:r w:rsidRPr="00A837D4">
        <w:rPr>
          <w:b/>
          <w:bCs/>
        </w:rPr>
        <w:t>referência técnica</w:t>
      </w:r>
      <w:r w:rsidRPr="00A837D4">
        <w:t xml:space="preserve">, mas com </w:t>
      </w:r>
      <w:r w:rsidRPr="00A837D4">
        <w:rPr>
          <w:b/>
          <w:bCs/>
        </w:rPr>
        <w:t xml:space="preserve">liberdade para </w:t>
      </w:r>
      <w:r w:rsidRPr="00A837D4">
        <w:rPr>
          <w:b/>
          <w:bCs/>
        </w:rPr>
        <w:lastRenderedPageBreak/>
        <w:t>reservas e adaptações</w:t>
      </w:r>
      <w:r w:rsidRPr="00A837D4">
        <w:t>, garantindo que as interpretações estejam alinhadas às necessidades econômicas e fiscais nacionais.</w:t>
      </w:r>
    </w:p>
    <w:p w14:paraId="49536356" w14:textId="77777777" w:rsidR="00A837D4" w:rsidRPr="00A837D4" w:rsidRDefault="00A837D4" w:rsidP="00A837D4">
      <w:r w:rsidRPr="00A837D4">
        <w:t>Essa abordagem permite ao Brasil equilibrar sua soberania tributária com o alinhamento parcial a padrões internacionais, reforçando a flexibilidade no uso dos comentários enquanto busca uma maior integração nas práticas globais.</w:t>
      </w:r>
    </w:p>
    <w:p w14:paraId="64ADB012" w14:textId="77777777" w:rsidR="00A837D4" w:rsidRPr="00A837D4" w:rsidRDefault="00A837D4" w:rsidP="00A837D4"/>
    <w:p w14:paraId="255D04C5" w14:textId="77777777" w:rsidR="00A837D4" w:rsidRDefault="00A837D4" w:rsidP="00B15AED"/>
    <w:p w14:paraId="1632F755" w14:textId="77777777" w:rsidR="00A837D4" w:rsidRDefault="00A837D4" w:rsidP="00B15AED"/>
    <w:p w14:paraId="13F4D59A" w14:textId="4D2BA752" w:rsidR="00A837D4" w:rsidRDefault="00A837D4" w:rsidP="00B15AED">
      <w:r w:rsidRPr="00A837D4">
        <w:t>Determinar a normatividade das recomendações proferidas pela OCDE no âmbito do Projeto BEPS requer, como etapa lógica que lhe é anterior e necessária, que a formulação de respostas para três questões, a saber: (i) Quais são os modos de criação de obrigações jurídicas internacionais aos quais o Brasil se sujeita? Em outras palavras, quais são as fontes do Direito Internacional Público hábeis para a criação de obrigações jurídicas? (</w:t>
      </w:r>
      <w:proofErr w:type="spellStart"/>
      <w:r w:rsidRPr="00A837D4">
        <w:t>ii</w:t>
      </w:r>
      <w:proofErr w:type="spellEnd"/>
      <w:r w:rsidRPr="00A837D4">
        <w:t>) Qual é a natureza jurídica das recomendações proferidas pela OCDE contidas nos relatórios relativos a cada um dos planos de ação que compõem o projeto de combate ao BEPS? (</w:t>
      </w:r>
      <w:proofErr w:type="spellStart"/>
      <w:r w:rsidRPr="00A837D4">
        <w:t>iii</w:t>
      </w:r>
      <w:proofErr w:type="spellEnd"/>
      <w:r w:rsidRPr="00A837D4">
        <w:t>) Como as recomendações da OCDE podem influenciar na criação de obrigações jurídicas</w:t>
      </w:r>
      <w:r>
        <w:t xml:space="preserve"> </w:t>
      </w:r>
      <w:r w:rsidRPr="00A837D4">
        <w:t>internacionais dos Estados (supondo, neste ponto, que as recomendações per se</w:t>
      </w:r>
      <w:r>
        <w:t xml:space="preserve"> </w:t>
      </w:r>
      <w:r w:rsidRPr="00A837D4">
        <w:t>não são capazes de criar obrigações jurídicas aos Estados)?</w:t>
      </w:r>
      <w:r>
        <w:t xml:space="preserve"> </w:t>
      </w:r>
    </w:p>
    <w:p w14:paraId="073BAF38" w14:textId="77777777" w:rsidR="00D235A2" w:rsidRDefault="00D235A2" w:rsidP="00B15AED"/>
    <w:p w14:paraId="60973FBF" w14:textId="77777777" w:rsidR="00D235A2" w:rsidRDefault="00D235A2" w:rsidP="00B15AED"/>
    <w:p w14:paraId="68010993" w14:textId="77777777" w:rsidR="00B15AED" w:rsidRPr="00B15AED" w:rsidRDefault="00B15AED" w:rsidP="00B15AED"/>
    <w:p w14:paraId="12BCB009" w14:textId="77777777" w:rsidR="005766CB" w:rsidRDefault="00B15AED" w:rsidP="005766CB">
      <w:pPr>
        <w:pBdr>
          <w:top w:val="single" w:sz="4" w:space="1" w:color="auto"/>
          <w:left w:val="single" w:sz="4" w:space="4" w:color="auto"/>
          <w:bottom w:val="single" w:sz="4" w:space="1" w:color="auto"/>
          <w:right w:val="single" w:sz="4" w:space="4" w:color="auto"/>
        </w:pBdr>
      </w:pPr>
      <w:r w:rsidRPr="00B15AED">
        <w:t>7. Considerando a decisão proferida pelo STJ ao julgar o RESP nº 810.195/RJ, pergunta</w:t>
      </w:r>
      <w:r>
        <w:t>-</w:t>
      </w:r>
      <w:r w:rsidRPr="00B15AED">
        <w:t>se:</w:t>
      </w:r>
      <w:r>
        <w:t xml:space="preserve"> </w:t>
      </w:r>
      <w:r w:rsidRPr="00B15AED">
        <w:t>É permitido que a União, visando a regular a política tarifária, verse sobre tributos de</w:t>
      </w:r>
      <w:r>
        <w:t xml:space="preserve"> </w:t>
      </w:r>
      <w:r w:rsidRPr="00B15AED">
        <w:t>competência estadual ou municipal, a fim de conceder isenções, por exemplo? Como</w:t>
      </w:r>
      <w:r>
        <w:t xml:space="preserve"> </w:t>
      </w:r>
      <w:r w:rsidRPr="00B15AED">
        <w:t>ficam o Princípio Federativo e o da Autonomia dos Municípios, consagrados na</w:t>
      </w:r>
      <w:r>
        <w:t xml:space="preserve"> </w:t>
      </w:r>
      <w:r w:rsidRPr="00B15AED">
        <w:t>Constituição de 1988?</w:t>
      </w:r>
      <w:r w:rsidR="005766CB">
        <w:t xml:space="preserve"> </w:t>
      </w:r>
    </w:p>
    <w:p w14:paraId="37A85470" w14:textId="77777777" w:rsidR="005766CB" w:rsidRDefault="005766CB" w:rsidP="005766CB"/>
    <w:p w14:paraId="5080610F" w14:textId="71EEF41E" w:rsidR="005766CB" w:rsidRDefault="005766CB" w:rsidP="005766CB">
      <w:r w:rsidRPr="005766CB">
        <w:t xml:space="preserve">Esse julgado do </w:t>
      </w:r>
      <w:r w:rsidRPr="005766CB">
        <w:rPr>
          <w:b/>
          <w:bCs/>
        </w:rPr>
        <w:t>Superior Tribunal de Justiça (STJ)</w:t>
      </w:r>
      <w:r w:rsidRPr="005766CB">
        <w:t xml:space="preserve">, referente ao </w:t>
      </w:r>
      <w:proofErr w:type="spellStart"/>
      <w:r w:rsidRPr="005766CB">
        <w:rPr>
          <w:b/>
          <w:bCs/>
        </w:rPr>
        <w:t>AgRg</w:t>
      </w:r>
      <w:proofErr w:type="spellEnd"/>
      <w:r w:rsidRPr="005766CB">
        <w:rPr>
          <w:b/>
          <w:bCs/>
        </w:rPr>
        <w:t xml:space="preserve"> no Recurso Especial nº 810.195 - RJ</w:t>
      </w:r>
      <w:r w:rsidRPr="005766CB">
        <w:t xml:space="preserve">, trata da </w:t>
      </w:r>
      <w:r w:rsidRPr="005766CB">
        <w:rPr>
          <w:b/>
          <w:bCs/>
        </w:rPr>
        <w:t>isenção do ICMS na importação de bacalhau de países signatários do GATT</w:t>
      </w:r>
      <w:r w:rsidRPr="005766CB">
        <w:t xml:space="preserve"> (Acordo Geral sobre Tarifas e Comércio). </w:t>
      </w:r>
    </w:p>
    <w:p w14:paraId="70025C7D" w14:textId="1608AAA9" w:rsidR="005766CB" w:rsidRDefault="005766CB" w:rsidP="005766CB">
      <w:r w:rsidRPr="005766CB">
        <w:t xml:space="preserve">O </w:t>
      </w:r>
      <w:r w:rsidRPr="005766CB">
        <w:rPr>
          <w:b/>
          <w:bCs/>
        </w:rPr>
        <w:t xml:space="preserve">GATT (General </w:t>
      </w:r>
      <w:proofErr w:type="spellStart"/>
      <w:r w:rsidRPr="005766CB">
        <w:rPr>
          <w:b/>
          <w:bCs/>
        </w:rPr>
        <w:t>Agreement</w:t>
      </w:r>
      <w:proofErr w:type="spellEnd"/>
      <w:r w:rsidRPr="005766CB">
        <w:rPr>
          <w:b/>
          <w:bCs/>
        </w:rPr>
        <w:t xml:space="preserve"> </w:t>
      </w:r>
      <w:proofErr w:type="spellStart"/>
      <w:r w:rsidRPr="005766CB">
        <w:rPr>
          <w:b/>
          <w:bCs/>
        </w:rPr>
        <w:t>on</w:t>
      </w:r>
      <w:proofErr w:type="spellEnd"/>
      <w:r w:rsidRPr="005766CB">
        <w:rPr>
          <w:b/>
          <w:bCs/>
        </w:rPr>
        <w:t xml:space="preserve"> </w:t>
      </w:r>
      <w:proofErr w:type="spellStart"/>
      <w:r w:rsidRPr="005766CB">
        <w:rPr>
          <w:b/>
          <w:bCs/>
        </w:rPr>
        <w:t>Tariffs</w:t>
      </w:r>
      <w:proofErr w:type="spellEnd"/>
      <w:r w:rsidRPr="005766CB">
        <w:rPr>
          <w:b/>
          <w:bCs/>
        </w:rPr>
        <w:t xml:space="preserve"> </w:t>
      </w:r>
      <w:proofErr w:type="spellStart"/>
      <w:r w:rsidRPr="005766CB">
        <w:rPr>
          <w:b/>
          <w:bCs/>
        </w:rPr>
        <w:t>and</w:t>
      </w:r>
      <w:proofErr w:type="spellEnd"/>
      <w:r w:rsidRPr="005766CB">
        <w:rPr>
          <w:b/>
          <w:bCs/>
        </w:rPr>
        <w:t xml:space="preserve"> Trade)</w:t>
      </w:r>
      <w:r w:rsidRPr="005766CB">
        <w:t xml:space="preserve"> é um acordo internacional de comércio, precursor da Organização Mundial do Comércio (OMC), que visa promover o livre comércio entre os países signatários, reduzindo barreiras tarifárias e comerciais.</w:t>
      </w:r>
    </w:p>
    <w:p w14:paraId="1DE48766" w14:textId="50056517" w:rsidR="005766CB" w:rsidRDefault="005766CB" w:rsidP="005766CB">
      <w:r>
        <w:t xml:space="preserve">O ICMS </w:t>
      </w:r>
      <w:r w:rsidRPr="005766CB">
        <w:t>é</w:t>
      </w:r>
      <w:r w:rsidRPr="005766CB">
        <w:t xml:space="preserve"> um imposto estadual que incide sobre a circulação de mercadorias, serviços de transporte interestadual/intermunicipal e serviços de comunicação. No caso de importações, o ICMS é aplicado na entrada do produto no Brasil.</w:t>
      </w:r>
    </w:p>
    <w:p w14:paraId="07AD667A" w14:textId="0F819414" w:rsidR="005766CB" w:rsidRDefault="005766CB" w:rsidP="005766CB">
      <w:r>
        <w:t xml:space="preserve">A </w:t>
      </w:r>
      <w:r w:rsidRPr="005766CB">
        <w:t xml:space="preserve">Súmula n. 71 - STJ </w:t>
      </w:r>
      <w:r>
        <w:t>(“</w:t>
      </w:r>
      <w:r w:rsidRPr="005766CB">
        <w:t>O bacalhau importado de país signatário do GATT é isento do ICMS.</w:t>
      </w:r>
      <w:r>
        <w:t>”)</w:t>
      </w:r>
      <w:r w:rsidRPr="005766CB">
        <w:t xml:space="preserve"> </w:t>
      </w:r>
      <w:r w:rsidRPr="005766CB">
        <w:t xml:space="preserve">reflete o entendimento de que </w:t>
      </w:r>
      <w:r w:rsidRPr="005766CB">
        <w:rPr>
          <w:b/>
          <w:bCs/>
        </w:rPr>
        <w:t>o bacalhau importado de países signatários do GATT</w:t>
      </w:r>
      <w:r w:rsidRPr="005766CB">
        <w:t xml:space="preserve"> não deve ser tributado com ICMS no momento da importação. Isso se dá devido a </w:t>
      </w:r>
      <w:r w:rsidRPr="005766CB">
        <w:lastRenderedPageBreak/>
        <w:t>compromissos internacionais assumidos pelo Brasil ao aderir ao GATT, que incluem a isenção ou redução de tributos para promover o comércio internacional.</w:t>
      </w:r>
    </w:p>
    <w:p w14:paraId="082A5E9D" w14:textId="65F154ED" w:rsidR="005766CB" w:rsidRDefault="005766CB" w:rsidP="005766CB">
      <w:r w:rsidRPr="005766CB">
        <w:t>Em casos como o do bacalhau, considera-se que o produto é de consumo básico e tradicional no Brasil, especialmente em períodos religiosos como a Páscoa. Além disso, o GATT pode incluir regras específicas para alguns produtos, isentando-os de certos impostos como forma de facilitar o comércio e evitar a oneração excessiva.</w:t>
      </w:r>
    </w:p>
    <w:p w14:paraId="3C308FBD" w14:textId="385876AD" w:rsidR="005766CB" w:rsidRPr="005766CB" w:rsidRDefault="005766CB" w:rsidP="005766CB">
      <w:r>
        <w:t>A q</w:t>
      </w:r>
      <w:r w:rsidRPr="005766CB">
        <w:t>uestão central</w:t>
      </w:r>
      <w:r>
        <w:t xml:space="preserve"> do </w:t>
      </w:r>
      <w:proofErr w:type="spellStart"/>
      <w:r w:rsidRPr="005766CB">
        <w:t>AgRg</w:t>
      </w:r>
      <w:proofErr w:type="spellEnd"/>
      <w:r w:rsidRPr="005766CB">
        <w:t xml:space="preserve"> no Recurso Especial nº 810.195 </w:t>
      </w:r>
      <w:r>
        <w:t>–</w:t>
      </w:r>
      <w:r w:rsidRPr="005766CB">
        <w:t xml:space="preserve"> RJ</w:t>
      </w:r>
      <w:r>
        <w:t xml:space="preserve"> é que o </w:t>
      </w:r>
      <w:r w:rsidRPr="005766CB">
        <w:t xml:space="preserve">Estado do Rio de Janeiro recorreu contra a decisão que aplicava a </w:t>
      </w:r>
      <w:r w:rsidRPr="005766CB">
        <w:rPr>
          <w:b/>
          <w:bCs/>
        </w:rPr>
        <w:t>Súmula nº 71 do STJ</w:t>
      </w:r>
      <w:r w:rsidRPr="005766CB">
        <w:t>, que isenta do ICMS o bacalhau importado de países signatários do GATT. O principal argumento do Estado era que essa súmula não deveria ser aplicada, pois</w:t>
      </w:r>
      <w:r>
        <w:t xml:space="preserve"> o </w:t>
      </w:r>
      <w:r w:rsidRPr="005766CB">
        <w:t>GATT seria inconstitucional</w:t>
      </w:r>
      <w:r>
        <w:t xml:space="preserve"> e também porque a </w:t>
      </w:r>
      <w:r w:rsidRPr="005766CB">
        <w:t xml:space="preserve">isenção do ICMS dependeria de regulamentação específica, como previsto no art. 155, § 2º, inciso XII, alínea "g", da </w:t>
      </w:r>
      <w:r w:rsidRPr="005766CB">
        <w:rPr>
          <w:b/>
          <w:bCs/>
        </w:rPr>
        <w:t>Constituição Federal de 1988</w:t>
      </w:r>
      <w:r>
        <w:rPr>
          <w:b/>
          <w:bCs/>
        </w:rPr>
        <w:t xml:space="preserve">. </w:t>
      </w:r>
      <w:r w:rsidRPr="005766CB">
        <w:t>O Estado defendia que a tributação deveria ser regulada por Lei Complementar, sendo inválida qualquer isenção sem essa regulamentação.</w:t>
      </w:r>
      <w:r>
        <w:t xml:space="preserve"> O </w:t>
      </w:r>
      <w:r w:rsidRPr="005766CB">
        <w:t>STJ</w:t>
      </w:r>
      <w:r>
        <w:t xml:space="preserve"> negou </w:t>
      </w:r>
      <w:r w:rsidRPr="005766CB">
        <w:rPr>
          <w:b/>
          <w:bCs/>
        </w:rPr>
        <w:t>provimento ao agravo regimental</w:t>
      </w:r>
      <w:r w:rsidRPr="005766CB">
        <w:t xml:space="preserve"> interposto pelo Estado do Rio de Janeiro.</w:t>
      </w:r>
      <w:r>
        <w:t xml:space="preserve"> Afirmou o STJ que o</w:t>
      </w:r>
      <w:r w:rsidRPr="005766CB">
        <w:t xml:space="preserve"> artigo III do GATT estabelece que bens importados devem receber o mesmo tratamento dado aos produtos similares de origem nacional. Assim, a isenção conferida ao bacalhau nacional deve ser estendida ao produto importado.</w:t>
      </w:r>
      <w:r>
        <w:t xml:space="preserve"> </w:t>
      </w:r>
      <w:r w:rsidRPr="005766CB">
        <w:t>O entendimento foi reforçado pela Súmula nº 575 do Supremo Tribunal Federal (STF), que estende a isenção do ICMS aos países signatários do GATT e membros da ALALC (Associação Latino-Americana de Livre Comércio)</w:t>
      </w:r>
      <w:r>
        <w:t>.</w:t>
      </w:r>
      <w:r w:rsidRPr="005766CB">
        <w:t xml:space="preserve"> </w:t>
      </w:r>
      <w:r w:rsidRPr="005766CB">
        <w:t>O artigo 98 do Código Tributário Nacional estabelece que os tratados internacionais devem prevalecer sobre a legislação interna no caso de conflito.</w:t>
      </w:r>
      <w:r>
        <w:t xml:space="preserve"> </w:t>
      </w:r>
      <w:r w:rsidRPr="005766CB">
        <w:t>Esse convênio autoriza a isenção do ICMS para determinados pescados. Assim, a interpretação aplicada pelo STJ é que a isenção para o bacalhau importado deve ser respeitada em conformidade com o GATT.</w:t>
      </w:r>
      <w:r>
        <w:t xml:space="preserve"> </w:t>
      </w:r>
      <w:r w:rsidRPr="005766CB">
        <w:t>O STJ manteve a isenção do ICMS para o bacalhau importado de países signatários do GATT, fundamentando-se no princípio da não-discriminação e na hierarquia normativa dos tratados internacionais.</w:t>
      </w:r>
    </w:p>
    <w:p w14:paraId="79E35404" w14:textId="52A70EA5" w:rsidR="005766CB" w:rsidRDefault="005766CB" w:rsidP="005766CB">
      <w:r>
        <w:t>A</w:t>
      </w:r>
      <w:r w:rsidRPr="005766CB">
        <w:t xml:space="preserve"> União, ao regular a política tarifária e implementar tratados internacionais,</w:t>
      </w:r>
      <w:r>
        <w:t xml:space="preserve"> pode </w:t>
      </w:r>
      <w:r w:rsidRPr="005766CB">
        <w:t>interferir em tributos de competência estadual ou municipal, como no caso do ICMS</w:t>
      </w:r>
      <w:r>
        <w:t>?</w:t>
      </w:r>
      <w:r w:rsidR="00104F0F">
        <w:t xml:space="preserve"> </w:t>
      </w:r>
      <w:r w:rsidR="00104F0F" w:rsidRPr="00104F0F">
        <w:t>A análise deve considerar os princípios constitucionais do Pacto Federativo e da Autonomia dos Entes Federativos, previstos na Constituição Federal de 1988.</w:t>
      </w:r>
    </w:p>
    <w:p w14:paraId="1FD70A5C" w14:textId="1FD59258" w:rsidR="005766CB" w:rsidRDefault="00104F0F" w:rsidP="005766CB">
      <w:r>
        <w:t xml:space="preserve">Conforme a CF/88, </w:t>
      </w:r>
      <w:r w:rsidRPr="00104F0F">
        <w:t xml:space="preserve">os entes federativos (União, Estados, Municípios e Distrito Federal) possuem </w:t>
      </w:r>
      <w:r w:rsidRPr="00104F0F">
        <w:rPr>
          <w:b/>
          <w:bCs/>
        </w:rPr>
        <w:t>competência tributária privativa</w:t>
      </w:r>
      <w:r w:rsidRPr="00104F0F">
        <w:t xml:space="preserve">, isto é, a capacidade de instituir e regular tributos de acordo com as atribuições previstas nos </w:t>
      </w:r>
      <w:r w:rsidRPr="00104F0F">
        <w:rPr>
          <w:b/>
          <w:bCs/>
        </w:rPr>
        <w:t>artigos 145 a 162 da CF/88</w:t>
      </w:r>
      <w:r w:rsidRPr="00104F0F">
        <w:t>.</w:t>
      </w:r>
      <w:r w:rsidRPr="00104F0F">
        <w:rPr>
          <w:rFonts w:ascii="Times New Roman" w:eastAsia="Times New Roman" w:hAnsi="Times New Roman" w:cs="Times New Roman"/>
          <w:kern w:val="0"/>
          <w:sz w:val="24"/>
          <w:szCs w:val="24"/>
          <w:lang w:eastAsia="pt-BR"/>
          <w14:ligatures w14:val="none"/>
        </w:rPr>
        <w:t xml:space="preserve"> </w:t>
      </w:r>
      <w:r w:rsidRPr="00104F0F">
        <w:t xml:space="preserve">O </w:t>
      </w:r>
      <w:r w:rsidRPr="00104F0F">
        <w:rPr>
          <w:b/>
          <w:bCs/>
        </w:rPr>
        <w:t>ICMS</w:t>
      </w:r>
      <w:r w:rsidRPr="00104F0F">
        <w:t>, por exemplo, é de competência exclusiva dos Estados e do Distrito Federal (</w:t>
      </w:r>
      <w:r w:rsidRPr="00104F0F">
        <w:rPr>
          <w:b/>
          <w:bCs/>
        </w:rPr>
        <w:t>art. 155, II</w:t>
      </w:r>
      <w:r w:rsidRPr="00104F0F">
        <w:t>).</w:t>
      </w:r>
      <w:r>
        <w:t xml:space="preserve"> </w:t>
      </w:r>
      <w:r w:rsidRPr="00104F0F">
        <w:t>No entanto, a interferência da União pode ocorrer em algumas situações específicas</w:t>
      </w:r>
      <w:r>
        <w:t xml:space="preserve">, como no </w:t>
      </w:r>
      <w:r w:rsidRPr="00104F0F">
        <w:rPr>
          <w:b/>
          <w:bCs/>
        </w:rPr>
        <w:t>art. 98 do Código Tributário Nacional</w:t>
      </w:r>
      <w:r>
        <w:rPr>
          <w:b/>
          <w:bCs/>
        </w:rPr>
        <w:t xml:space="preserve">, </w:t>
      </w:r>
      <w:r w:rsidRPr="00104F0F">
        <w:t>que</w:t>
      </w:r>
      <w:r w:rsidRPr="00104F0F">
        <w:t xml:space="preserve">  determina que tratados internacionais ratificados pelo Brasil prevalecem sobre a legislação interna no caso de conflito. Isso inclui situações que envolvem tributos estaduais e municipais, desde que o tratado trate de matérias compatíveis com os compromissos internacionais assumidos pelo Brasil.</w:t>
      </w:r>
      <w:r>
        <w:t xml:space="preserve"> </w:t>
      </w:r>
      <w:r w:rsidRPr="00104F0F">
        <w:t>No caso analisado, o GATT (Acordo Geral sobre Tarifas e Comércio) regula o comércio internacional e inclui cláusulas de não-discriminação (art. III do GATT). Portanto, a isenção do ICMS para mercadorias importadas de países signatários é uma consequência do tratado.</w:t>
      </w:r>
      <w:r>
        <w:t xml:space="preserve"> Ademais, a</w:t>
      </w:r>
      <w:r w:rsidRPr="00104F0F">
        <w:t xml:space="preserve"> União detém competência privativa para legislar sobre comércio exterior e política tarifária, como previsto no </w:t>
      </w:r>
      <w:r w:rsidRPr="00104F0F">
        <w:rPr>
          <w:b/>
          <w:bCs/>
        </w:rPr>
        <w:t>art. 22, VIII da CF/88</w:t>
      </w:r>
      <w:r w:rsidRPr="00104F0F">
        <w:t xml:space="preserve">. Assim, ao assinar tratados internacionais como o GATT, a União pode adotar medidas que </w:t>
      </w:r>
      <w:r w:rsidRPr="00104F0F">
        <w:lastRenderedPageBreak/>
        <w:t>impactem tributos estaduais ou municipais, especialmente quando se trata de harmonizar a política tarifária com compromissos internacionais.</w:t>
      </w:r>
    </w:p>
    <w:p w14:paraId="637C8494" w14:textId="6C0DE139" w:rsidR="00104F0F" w:rsidRDefault="00104F0F" w:rsidP="00104F0F">
      <w:r w:rsidRPr="00104F0F">
        <w:t>Os Princípios Federativo e da Autonomia dos Entes Federativos estão consagrados na Constituição de 1988 e garantem que os Estados, Municípios e o Distrito Federal possuem autonomia para legislar, administrar e tributar dentro de suas respectivas competências. Essa autonomia, no entanto, não é absoluta, e existem algumas limitações importantes</w:t>
      </w:r>
      <w:r>
        <w:t xml:space="preserve">. </w:t>
      </w:r>
      <w:r w:rsidRPr="00104F0F">
        <w:t xml:space="preserve">O Pacto Federativo assegura a distribuição de competências entre os entes federados, mas também exige </w:t>
      </w:r>
      <w:r w:rsidRPr="00104F0F">
        <w:rPr>
          <w:b/>
          <w:bCs/>
        </w:rPr>
        <w:t>cooperação e coordenação</w:t>
      </w:r>
      <w:r w:rsidRPr="00104F0F">
        <w:t xml:space="preserve"> entre eles para a implementação de políticas nacionais e internacionais</w:t>
      </w:r>
      <w:r>
        <w:t xml:space="preserve">. </w:t>
      </w:r>
      <w:r w:rsidRPr="00104F0F">
        <w:t>Nesse sentido, a União pode interferir em tributos estaduais ou municipais quando houver necessidade de cumprimento de compromissos internacionais, desde que respeite os limites constitucionais e proceda por meio de instrumentos legais adequados, como tratados ou convênios.</w:t>
      </w:r>
      <w:r>
        <w:t xml:space="preserve"> Não obstante, a </w:t>
      </w:r>
      <w:r w:rsidRPr="00104F0F">
        <w:t>autonomia tributária dos Estados e Municípios, prevista nos artigos 18 e 155 da CF/88, é protegida pela Constituição, mas não é ilimitada:</w:t>
      </w:r>
      <w:r>
        <w:t xml:space="preserve"> </w:t>
      </w:r>
      <w:r w:rsidRPr="00104F0F">
        <w:t xml:space="preserve">A </w:t>
      </w:r>
      <w:r w:rsidRPr="00104F0F">
        <w:rPr>
          <w:b/>
          <w:bCs/>
        </w:rPr>
        <w:t>isenção do ICMS</w:t>
      </w:r>
      <w:r w:rsidRPr="00104F0F">
        <w:t xml:space="preserve"> para bens importados com base no GATT é uma imposição derivada de tratado internacional, que a União deve implementar, mesmo que isso impacte a arrecadação estadual</w:t>
      </w:r>
      <w:r>
        <w:t xml:space="preserve">. </w:t>
      </w:r>
      <w:r w:rsidRPr="00104F0F">
        <w:t xml:space="preserve">Para evitar conflitos com a autonomia estadual, o </w:t>
      </w:r>
      <w:r w:rsidRPr="00104F0F">
        <w:rPr>
          <w:b/>
          <w:bCs/>
        </w:rPr>
        <w:t>art. 155, § 2º, inciso XII, alínea "g" da CF/88</w:t>
      </w:r>
      <w:r w:rsidRPr="00104F0F">
        <w:t xml:space="preserve"> exige que isenções de ICMS sejam regulamentadas por </w:t>
      </w:r>
      <w:r w:rsidRPr="00104F0F">
        <w:rPr>
          <w:b/>
          <w:bCs/>
        </w:rPr>
        <w:t>Lei Complementar</w:t>
      </w:r>
      <w:r w:rsidRPr="00104F0F">
        <w:t>, garantindo a participação dos Estados na decisão.</w:t>
      </w:r>
    </w:p>
    <w:p w14:paraId="38D114FE" w14:textId="7703C31F" w:rsidR="00104F0F" w:rsidRPr="00104F0F" w:rsidRDefault="00104F0F" w:rsidP="00104F0F">
      <w:r>
        <w:t>Assim, a</w:t>
      </w:r>
      <w:r w:rsidRPr="00104F0F">
        <w:t xml:space="preserve"> União pode interferir em tributos estaduais ou municipais quando isso for necessário para atender compromissos assumidos em tratados internacionais, como no caso do GATT. Contudo, essa interferência deve observar os limites constitucionais, especialmente o Princípio Federativo e o da Autonomia dos Estados e Municípios.</w:t>
      </w:r>
      <w:r>
        <w:t xml:space="preserve"> </w:t>
      </w:r>
      <w:r>
        <w:t>No caso analisado</w:t>
      </w:r>
      <w:r>
        <w:t>, a</w:t>
      </w:r>
      <w:r>
        <w:t xml:space="preserve"> isenção do ICMS para o bacalhau importado foi respaldada pelo GATT e pelo Princípio da Não-Discriminação, assegurando igualdade entre bens nacionais e importados.</w:t>
      </w:r>
      <w:r>
        <w:t xml:space="preserve"> </w:t>
      </w:r>
      <w:r>
        <w:t>A</w:t>
      </w:r>
      <w:r>
        <w:t>demais,</w:t>
      </w:r>
      <w:r>
        <w:t xml:space="preserve"> decisão do STJ não fere o Pacto Federativo, pois o GATT foi ratificado pelo Brasil e os Estados devem respeitar os compromissos assumidos no tratado, como previsto no art. 98 do CTN.</w:t>
      </w:r>
      <w:r>
        <w:t xml:space="preserve"> Por fim, a</w:t>
      </w:r>
      <w:r>
        <w:t xml:space="preserve"> autonomia estadual é garantida por meio do art. 155, § 2º, inciso XII, alínea "g" da CF/88, que exige regulamentação conjunta das isenções do ICMS por Lei Complementar.</w:t>
      </w:r>
      <w:r>
        <w:t xml:space="preserve"> </w:t>
      </w:r>
      <w:r>
        <w:t>Portanto, embora haja um impacto sobre a arrecadação estadual, essa interferência é legítima e necessária para assegurar a observância dos compromissos internacionais e a integração econômica do Brasil ao comércio global.</w:t>
      </w:r>
    </w:p>
    <w:p w14:paraId="1A0B8130" w14:textId="481F2FE9" w:rsidR="00104F0F" w:rsidRPr="00104F0F" w:rsidRDefault="00104F0F" w:rsidP="00104F0F"/>
    <w:p w14:paraId="675A416F" w14:textId="77777777" w:rsidR="00104F0F" w:rsidRDefault="00104F0F" w:rsidP="005766CB"/>
    <w:p w14:paraId="1D24A943" w14:textId="77777777" w:rsidR="00104F0F" w:rsidRPr="005766CB" w:rsidRDefault="00104F0F" w:rsidP="005766CB"/>
    <w:p w14:paraId="351BF69C" w14:textId="68185131" w:rsidR="00B15AED" w:rsidRDefault="00B15AED" w:rsidP="005766CB"/>
    <w:sectPr w:rsidR="00B15AED">
      <w:head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4723E3" w14:textId="77777777" w:rsidR="00DA5B42" w:rsidRDefault="00DA5B42" w:rsidP="00B15AED">
      <w:pPr>
        <w:spacing w:after="0" w:line="240" w:lineRule="auto"/>
      </w:pPr>
      <w:r>
        <w:separator/>
      </w:r>
    </w:p>
  </w:endnote>
  <w:endnote w:type="continuationSeparator" w:id="0">
    <w:p w14:paraId="1D470240" w14:textId="77777777" w:rsidR="00DA5B42" w:rsidRDefault="00DA5B42" w:rsidP="00B15A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F6E518" w14:textId="77777777" w:rsidR="00DA5B42" w:rsidRDefault="00DA5B42" w:rsidP="00B15AED">
      <w:pPr>
        <w:spacing w:after="0" w:line="240" w:lineRule="auto"/>
      </w:pPr>
      <w:r>
        <w:separator/>
      </w:r>
    </w:p>
  </w:footnote>
  <w:footnote w:type="continuationSeparator" w:id="0">
    <w:p w14:paraId="72A1A338" w14:textId="77777777" w:rsidR="00DA5B42" w:rsidRDefault="00DA5B42" w:rsidP="00B15AED">
      <w:pPr>
        <w:spacing w:after="0" w:line="240" w:lineRule="auto"/>
      </w:pPr>
      <w:r>
        <w:continuationSeparator/>
      </w:r>
    </w:p>
  </w:footnote>
  <w:footnote w:id="1">
    <w:p w14:paraId="5BF35408" w14:textId="1BD89D86" w:rsidR="00A55901" w:rsidRPr="00D235A2" w:rsidRDefault="00A55901" w:rsidP="00D235A2">
      <w:pPr>
        <w:pStyle w:val="Textodenotaderodap"/>
        <w:jc w:val="both"/>
      </w:pPr>
      <w:r w:rsidRPr="00D235A2">
        <w:rPr>
          <w:rStyle w:val="Refdenotaderodap"/>
        </w:rPr>
        <w:footnoteRef/>
      </w:r>
      <w:r w:rsidRPr="00D235A2">
        <w:t xml:space="preserve"> </w:t>
      </w:r>
      <w:hyperlink r:id="rId1" w:history="1">
        <w:r w:rsidRPr="00D235A2">
          <w:rPr>
            <w:rStyle w:val="Hyperlink"/>
          </w:rPr>
          <w:t>https://revista.ibdt.org.br/index.php/RDTA/article/download/1600/1091/5001</w:t>
        </w:r>
      </w:hyperlink>
      <w:r w:rsidRPr="00D235A2">
        <w:t xml:space="preserve"> </w:t>
      </w:r>
    </w:p>
  </w:footnote>
  <w:footnote w:id="2">
    <w:p w14:paraId="1C6D8040" w14:textId="0CE01C5C" w:rsidR="00A55901" w:rsidRPr="00D235A2" w:rsidRDefault="00A55901" w:rsidP="00D235A2">
      <w:pPr>
        <w:pStyle w:val="Textodenotaderodap"/>
        <w:jc w:val="both"/>
      </w:pPr>
      <w:r w:rsidRPr="00D235A2">
        <w:rPr>
          <w:rStyle w:val="Refdenotaderodap"/>
        </w:rPr>
        <w:footnoteRef/>
      </w:r>
      <w:r w:rsidRPr="00D235A2">
        <w:t xml:space="preserve"> </w:t>
      </w:r>
      <w:r w:rsidRPr="00D235A2">
        <w:t>BIANCO, João Francisco. Transparência Fiscal Internacional. São Paulo: Dialética, 2007, p. 146</w:t>
      </w:r>
      <w:r w:rsidRPr="00D235A2">
        <w:t>.</w:t>
      </w:r>
    </w:p>
  </w:footnote>
  <w:footnote w:id="3">
    <w:p w14:paraId="19B648BC" w14:textId="51D3AA0F" w:rsidR="00A55901" w:rsidRPr="00D235A2" w:rsidRDefault="00A55901" w:rsidP="00D235A2">
      <w:pPr>
        <w:pStyle w:val="Textodenotaderodap"/>
        <w:jc w:val="both"/>
      </w:pPr>
      <w:r w:rsidRPr="00D235A2">
        <w:rPr>
          <w:rStyle w:val="Refdenotaderodap"/>
        </w:rPr>
        <w:footnoteRef/>
      </w:r>
      <w:r w:rsidRPr="00D235A2">
        <w:t xml:space="preserve"> </w:t>
      </w:r>
      <w:r w:rsidRPr="00D235A2">
        <w:t>O exame da vigente Constituição Federal permite constatar que a execução dos tratados internacionais e a sua incorporação à ordem jurídica interna decorrem, no sistema adotado pelo Brasil, de um ato subjetivamente complexo, resultante da conjugação de duas vontades homogêneas: a do Congresso Nacional, que resolve, definitivamente, mediante decreto legislativo, sobre tratados, acordos ou atos internacionais (CF, art. 49, I) e a do Presidente da República, que, além de poder celebrar esses atos de direito internacional (CF, art. 84, VIII), também dispõe - enquanto Chefe de Estado que é - da competência para promulgá-los mediante decreto. O iter procedimental de incorporação dos tratados internacionais - superadas as fases prévias da celebração da convenção internacional, de sua aprovação congressional e da ratificação pelo Chefe de Estado - conclui-se com a expedição, pelo Presidente da República, de decreto, de cuja edição derivam três efeitos básicos que lhe são inerentes: (a) a promulgação do tratado internacional; (b) a publicação oficial de seu texto; e (c) a executoriedade do ato internacional, que passa, então, e somente então, a vincular e a obrigar no plano do direito positivo interno</w:t>
      </w:r>
      <w:r w:rsidRPr="00D235A2">
        <w:t xml:space="preserve">. Fonte: </w:t>
      </w:r>
      <w:hyperlink r:id="rId2" w:history="1">
        <w:r w:rsidRPr="00D235A2">
          <w:rPr>
            <w:rStyle w:val="Hyperlink"/>
          </w:rPr>
          <w:t>https://revista.ibdt.org.br/index.php/RDTA/article/download/1600/1091/5001</w:t>
        </w:r>
      </w:hyperlink>
    </w:p>
  </w:footnote>
  <w:footnote w:id="4">
    <w:p w14:paraId="4459DB24" w14:textId="56E78739" w:rsidR="00A55901" w:rsidRPr="00D235A2" w:rsidRDefault="00A55901" w:rsidP="00D235A2">
      <w:pPr>
        <w:pStyle w:val="Textodenotaderodap"/>
      </w:pPr>
      <w:r w:rsidRPr="00D235A2">
        <w:rPr>
          <w:rStyle w:val="Refdenotaderodap"/>
        </w:rPr>
        <w:footnoteRef/>
      </w:r>
      <w:r w:rsidRPr="00D235A2">
        <w:t xml:space="preserve"> </w:t>
      </w:r>
      <w:r w:rsidRPr="00D235A2">
        <w:t>CARVALHO, Paulo de Barros. Curso de Direito Tributário. 13ª ed., São Paulo: Saraiva, 2000, p. 72</w:t>
      </w:r>
      <w:r w:rsidRPr="00D235A2">
        <w:t>.</w:t>
      </w:r>
    </w:p>
  </w:footnote>
  <w:footnote w:id="5">
    <w:p w14:paraId="45F4DF4A" w14:textId="0F5592F0" w:rsidR="00762171" w:rsidRDefault="00762171">
      <w:pPr>
        <w:pStyle w:val="Textodenotaderodap"/>
      </w:pPr>
      <w:r>
        <w:rPr>
          <w:rStyle w:val="Refdenotaderodap"/>
        </w:rPr>
        <w:footnoteRef/>
      </w:r>
      <w:r>
        <w:t xml:space="preserve"> </w:t>
      </w:r>
      <w:hyperlink r:id="rId3" w:history="1">
        <w:r w:rsidRPr="006B0970">
          <w:rPr>
            <w:rStyle w:val="Hyperlink"/>
          </w:rPr>
          <w:t>https://revista.ibdt.org.br/index.php/RDTA/article/download/1913/1729#:~:text=A%20Instru%C3%A7%C3%A3o%20Normativa%20SRF%20n%C2%BA,%2C%20Granada%2C%20Ilhas%20Cayman%2C%20Ilhas</w:t>
        </w:r>
      </w:hyperlink>
      <w:r>
        <w:t xml:space="preserve"> </w:t>
      </w:r>
    </w:p>
  </w:footnote>
  <w:footnote w:id="6">
    <w:p w14:paraId="1FBDBB34" w14:textId="583BAC10" w:rsidR="001C6100" w:rsidRDefault="001C6100" w:rsidP="001C6100">
      <w:r>
        <w:rPr>
          <w:rStyle w:val="Refdenotaderodap"/>
        </w:rPr>
        <w:footnoteRef/>
      </w:r>
      <w:r>
        <w:t xml:space="preserve"> </w:t>
      </w:r>
      <w:hyperlink r:id="rId4" w:history="1">
        <w:r w:rsidRPr="006B0970">
          <w:rPr>
            <w:rStyle w:val="Hyperlink"/>
          </w:rPr>
          <w:t>https://www.gov.br/empresas-e-negocios/pt-br/invest-export-brasil/importar/consulte-normas-tributarias/tratamento-tributario-na-importacao-1</w:t>
        </w:r>
      </w:hyperlink>
      <w:r>
        <w:t xml:space="preserve"> </w:t>
      </w:r>
    </w:p>
  </w:footnote>
  <w:footnote w:id="7">
    <w:p w14:paraId="41A8D38D" w14:textId="7CF12B38" w:rsidR="00A55901" w:rsidRPr="00D235A2" w:rsidRDefault="00A55901" w:rsidP="00D235A2">
      <w:pPr>
        <w:pStyle w:val="Textodenotaderodap"/>
      </w:pPr>
      <w:r w:rsidRPr="00D235A2">
        <w:rPr>
          <w:rStyle w:val="Refdenotaderodap"/>
        </w:rPr>
        <w:footnoteRef/>
      </w:r>
      <w:r w:rsidRPr="00D235A2">
        <w:t xml:space="preserve"> </w:t>
      </w:r>
      <w:r w:rsidRPr="00D235A2">
        <w:t>In: Manual de preços de transferência no Brasil. BORGES, Alexandre Siciliano; FERNANDES, Edison Carlos; PEIXOTO, Marcelo Magalhães (COORD.). São Paulo: MP Editora, 2007, p. 110.</w:t>
      </w:r>
    </w:p>
  </w:footnote>
  <w:footnote w:id="8">
    <w:p w14:paraId="57ED59A5" w14:textId="1D86ECFD" w:rsidR="00A55901" w:rsidRPr="00D235A2" w:rsidRDefault="00A55901" w:rsidP="00D235A2">
      <w:pPr>
        <w:pStyle w:val="Textodenotaderodap"/>
      </w:pPr>
      <w:r w:rsidRPr="00D235A2">
        <w:rPr>
          <w:rStyle w:val="Refdenotaderodap"/>
        </w:rPr>
        <w:footnoteRef/>
      </w:r>
      <w:r w:rsidRPr="00D235A2">
        <w:t xml:space="preserve"> </w:t>
      </w:r>
      <w:r w:rsidRPr="00D235A2">
        <w:rPr>
          <w:i/>
          <w:iCs/>
        </w:rPr>
        <w:t>Op. Cit.</w:t>
      </w:r>
      <w:r w:rsidRPr="00D235A2">
        <w:t>, p. 111.</w:t>
      </w:r>
    </w:p>
  </w:footnote>
  <w:footnote w:id="9">
    <w:p w14:paraId="43D9C146" w14:textId="7A876455" w:rsidR="00A55901" w:rsidRPr="00D235A2" w:rsidRDefault="00A55901" w:rsidP="00D235A2">
      <w:pPr>
        <w:pStyle w:val="Textodenotaderodap"/>
      </w:pPr>
      <w:r w:rsidRPr="00D235A2">
        <w:rPr>
          <w:rStyle w:val="Refdenotaderodap"/>
        </w:rPr>
        <w:footnoteRef/>
      </w:r>
      <w:r w:rsidRPr="00D235A2">
        <w:t xml:space="preserve"> </w:t>
      </w:r>
      <w:r w:rsidRPr="00D235A2">
        <w:rPr>
          <w:i/>
          <w:iCs/>
        </w:rPr>
        <w:t>Op. Cit</w:t>
      </w:r>
      <w:r w:rsidRPr="00D235A2">
        <w:t>., p. 113.</w:t>
      </w:r>
    </w:p>
  </w:footnote>
  <w:footnote w:id="10">
    <w:p w14:paraId="3FCC7716" w14:textId="751EF671" w:rsidR="00A55901" w:rsidRPr="00D235A2" w:rsidRDefault="00A55901" w:rsidP="00D235A2">
      <w:pPr>
        <w:pStyle w:val="Textodenotaderodap"/>
      </w:pPr>
      <w:r w:rsidRPr="00D235A2">
        <w:rPr>
          <w:rStyle w:val="Refdenotaderodap"/>
        </w:rPr>
        <w:footnoteRef/>
      </w:r>
      <w:r w:rsidRPr="00D235A2">
        <w:t xml:space="preserve"> </w:t>
      </w:r>
      <w:r w:rsidRPr="00D235A2">
        <w:rPr>
          <w:i/>
          <w:iCs/>
        </w:rPr>
        <w:t>Op. Cit</w:t>
      </w:r>
      <w:r w:rsidRPr="00D235A2">
        <w:t>., p. 113-114.</w:t>
      </w:r>
    </w:p>
  </w:footnote>
  <w:footnote w:id="11">
    <w:p w14:paraId="2D79AD12" w14:textId="03F2FFEA" w:rsidR="00D235A2" w:rsidRPr="00D235A2" w:rsidRDefault="00D235A2" w:rsidP="00D235A2">
      <w:pPr>
        <w:spacing w:after="0" w:line="240" w:lineRule="auto"/>
        <w:jc w:val="both"/>
        <w:rPr>
          <w:sz w:val="20"/>
          <w:szCs w:val="20"/>
        </w:rPr>
      </w:pPr>
      <w:r w:rsidRPr="00D235A2">
        <w:rPr>
          <w:rStyle w:val="Refdenotaderodap"/>
          <w:sz w:val="20"/>
          <w:szCs w:val="20"/>
        </w:rPr>
        <w:footnoteRef/>
      </w:r>
      <w:r w:rsidRPr="00D235A2">
        <w:rPr>
          <w:sz w:val="20"/>
          <w:szCs w:val="20"/>
        </w:rPr>
        <w:t xml:space="preserve"> </w:t>
      </w:r>
      <w:r w:rsidRPr="00D235A2">
        <w:rPr>
          <w:sz w:val="20"/>
          <w:szCs w:val="20"/>
        </w:rPr>
        <w:t xml:space="preserve">Tributação internacional e o direito interno / Coordenador Ives Gandra da Silva Martins; conferencista inaugural Humberto Ávila. - Porto Alegre : </w:t>
      </w:r>
      <w:proofErr w:type="spellStart"/>
      <w:r w:rsidRPr="00D235A2">
        <w:rPr>
          <w:sz w:val="20"/>
          <w:szCs w:val="20"/>
        </w:rPr>
        <w:t>LexMagister</w:t>
      </w:r>
      <w:proofErr w:type="spellEnd"/>
      <w:r w:rsidRPr="00D235A2">
        <w:rPr>
          <w:sz w:val="20"/>
          <w:szCs w:val="20"/>
        </w:rPr>
        <w:t xml:space="preserve">, 2018. Fonte: </w:t>
      </w:r>
      <w:hyperlink r:id="rId5" w:history="1">
        <w:r w:rsidRPr="00D235A2">
          <w:rPr>
            <w:rStyle w:val="Hyperlink"/>
            <w:sz w:val="20"/>
            <w:szCs w:val="20"/>
          </w:rPr>
          <w:t>https://schoueri.com.br/wp-content/uploads/2020/10/LES-e-RCP-Tributac%CC%A7a%CC%83o-Internacional-e-o-Direito-Interno.pdf</w:t>
        </w:r>
      </w:hyperlink>
      <w:r w:rsidRPr="00D235A2">
        <w:rPr>
          <w:sz w:val="20"/>
          <w:szCs w:val="20"/>
        </w:rPr>
        <w:t xml:space="preserve"> </w:t>
      </w:r>
    </w:p>
  </w:footnote>
  <w:footnote w:id="12">
    <w:p w14:paraId="171D2F1B" w14:textId="77777777" w:rsidR="00A837D4" w:rsidRPr="00D235A2" w:rsidRDefault="00A837D4" w:rsidP="00A837D4">
      <w:pPr>
        <w:spacing w:after="0" w:line="240" w:lineRule="auto"/>
        <w:jc w:val="both"/>
        <w:rPr>
          <w:sz w:val="20"/>
          <w:szCs w:val="20"/>
        </w:rPr>
      </w:pPr>
      <w:r w:rsidRPr="00D235A2">
        <w:rPr>
          <w:rStyle w:val="Refdenotaderodap"/>
          <w:sz w:val="20"/>
          <w:szCs w:val="20"/>
        </w:rPr>
        <w:footnoteRef/>
      </w:r>
      <w:r w:rsidRPr="00D235A2">
        <w:rPr>
          <w:sz w:val="20"/>
          <w:szCs w:val="20"/>
        </w:rPr>
        <w:t xml:space="preserve"> Tributação internacional e o direito interno / Coordenador Ives Gandra da Silva Martins; conferencista inaugural Humberto Ávila. - Porto Alegre : </w:t>
      </w:r>
      <w:proofErr w:type="spellStart"/>
      <w:r w:rsidRPr="00D235A2">
        <w:rPr>
          <w:sz w:val="20"/>
          <w:szCs w:val="20"/>
        </w:rPr>
        <w:t>LexMagister</w:t>
      </w:r>
      <w:proofErr w:type="spellEnd"/>
      <w:r w:rsidRPr="00D235A2">
        <w:rPr>
          <w:sz w:val="20"/>
          <w:szCs w:val="20"/>
        </w:rPr>
        <w:t xml:space="preserve">, 2018. Fonte: </w:t>
      </w:r>
      <w:hyperlink r:id="rId6" w:history="1">
        <w:r w:rsidRPr="00D235A2">
          <w:rPr>
            <w:rStyle w:val="Hyperlink"/>
            <w:sz w:val="20"/>
            <w:szCs w:val="20"/>
          </w:rPr>
          <w:t>https://schoueri.com.br/wp-content/uploads/2020/10/LES-e-RCP-Tributac%CC%A7a%CC%83o-Internacional-e-o-Direito-Interno.pdf</w:t>
        </w:r>
      </w:hyperlink>
      <w:r w:rsidRPr="00D235A2">
        <w:rPr>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5489DC" w14:textId="2026FCCE" w:rsidR="00B15AED" w:rsidRDefault="00B15AED">
    <w:pPr>
      <w:pStyle w:val="Cabealho"/>
    </w:pPr>
    <w:r>
      <w:t>RENATA S. VALERA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B274D"/>
    <w:multiLevelType w:val="multilevel"/>
    <w:tmpl w:val="03AC3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06038"/>
    <w:multiLevelType w:val="multilevel"/>
    <w:tmpl w:val="10FC1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A4AED"/>
    <w:multiLevelType w:val="multilevel"/>
    <w:tmpl w:val="3A4E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1A3212"/>
    <w:multiLevelType w:val="multilevel"/>
    <w:tmpl w:val="268E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802F21"/>
    <w:multiLevelType w:val="multilevel"/>
    <w:tmpl w:val="9F1A1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553FBC"/>
    <w:multiLevelType w:val="multilevel"/>
    <w:tmpl w:val="B36A7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2D25F9"/>
    <w:multiLevelType w:val="multilevel"/>
    <w:tmpl w:val="D2D0F3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0C744F"/>
    <w:multiLevelType w:val="multilevel"/>
    <w:tmpl w:val="ABF201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1C2A2C"/>
    <w:multiLevelType w:val="multilevel"/>
    <w:tmpl w:val="34004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D76647"/>
    <w:multiLevelType w:val="multilevel"/>
    <w:tmpl w:val="FB8C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F4566F"/>
    <w:multiLevelType w:val="multilevel"/>
    <w:tmpl w:val="322E8A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6D2074"/>
    <w:multiLevelType w:val="multilevel"/>
    <w:tmpl w:val="547A6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2519A1"/>
    <w:multiLevelType w:val="multilevel"/>
    <w:tmpl w:val="D446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CB4D5F"/>
    <w:multiLevelType w:val="multilevel"/>
    <w:tmpl w:val="D1C405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B43E4D"/>
    <w:multiLevelType w:val="multilevel"/>
    <w:tmpl w:val="A25C12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031388"/>
    <w:multiLevelType w:val="multilevel"/>
    <w:tmpl w:val="FA728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D46109"/>
    <w:multiLevelType w:val="multilevel"/>
    <w:tmpl w:val="BD2C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9B5469"/>
    <w:multiLevelType w:val="multilevel"/>
    <w:tmpl w:val="131EC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11026D"/>
    <w:multiLevelType w:val="multilevel"/>
    <w:tmpl w:val="764E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9E1AAE"/>
    <w:multiLevelType w:val="multilevel"/>
    <w:tmpl w:val="5AFAA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CD014B"/>
    <w:multiLevelType w:val="multilevel"/>
    <w:tmpl w:val="99608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6161DB"/>
    <w:multiLevelType w:val="multilevel"/>
    <w:tmpl w:val="CE66B2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717B74"/>
    <w:multiLevelType w:val="multilevel"/>
    <w:tmpl w:val="C17C6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7173C2"/>
    <w:multiLevelType w:val="multilevel"/>
    <w:tmpl w:val="5616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366334"/>
    <w:multiLevelType w:val="multilevel"/>
    <w:tmpl w:val="390E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1C743D"/>
    <w:multiLevelType w:val="multilevel"/>
    <w:tmpl w:val="3AB2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295164"/>
    <w:multiLevelType w:val="multilevel"/>
    <w:tmpl w:val="42367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8E0A8E"/>
    <w:multiLevelType w:val="multilevel"/>
    <w:tmpl w:val="517096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BEC26D4"/>
    <w:multiLevelType w:val="multilevel"/>
    <w:tmpl w:val="98C09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73781A"/>
    <w:multiLevelType w:val="multilevel"/>
    <w:tmpl w:val="89A89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F102BF"/>
    <w:multiLevelType w:val="multilevel"/>
    <w:tmpl w:val="1B54D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0D55B2"/>
    <w:multiLevelType w:val="multilevel"/>
    <w:tmpl w:val="ABF45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54189E"/>
    <w:multiLevelType w:val="multilevel"/>
    <w:tmpl w:val="350C5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084471C"/>
    <w:multiLevelType w:val="multilevel"/>
    <w:tmpl w:val="6ED0B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8B4261"/>
    <w:multiLevelType w:val="multilevel"/>
    <w:tmpl w:val="8BD4D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C860F6"/>
    <w:multiLevelType w:val="multilevel"/>
    <w:tmpl w:val="1F8ED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BF5559"/>
    <w:multiLevelType w:val="multilevel"/>
    <w:tmpl w:val="ED5221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2C1051"/>
    <w:multiLevelType w:val="multilevel"/>
    <w:tmpl w:val="3A52B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0D7AF7"/>
    <w:multiLevelType w:val="multilevel"/>
    <w:tmpl w:val="709809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FB35A02"/>
    <w:multiLevelType w:val="multilevel"/>
    <w:tmpl w:val="A8D2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1782817">
    <w:abstractNumId w:val="16"/>
  </w:num>
  <w:num w:numId="2" w16cid:durableId="736972948">
    <w:abstractNumId w:val="32"/>
  </w:num>
  <w:num w:numId="3" w16cid:durableId="1745756228">
    <w:abstractNumId w:val="28"/>
  </w:num>
  <w:num w:numId="4" w16cid:durableId="420612803">
    <w:abstractNumId w:val="9"/>
  </w:num>
  <w:num w:numId="5" w16cid:durableId="814105683">
    <w:abstractNumId w:val="0"/>
  </w:num>
  <w:num w:numId="6" w16cid:durableId="683291827">
    <w:abstractNumId w:val="37"/>
  </w:num>
  <w:num w:numId="7" w16cid:durableId="18550373">
    <w:abstractNumId w:val="33"/>
  </w:num>
  <w:num w:numId="8" w16cid:durableId="1736508161">
    <w:abstractNumId w:val="1"/>
  </w:num>
  <w:num w:numId="9" w16cid:durableId="865289669">
    <w:abstractNumId w:val="27"/>
  </w:num>
  <w:num w:numId="10" w16cid:durableId="1351032790">
    <w:abstractNumId w:val="3"/>
  </w:num>
  <w:num w:numId="11" w16cid:durableId="1438863157">
    <w:abstractNumId w:val="6"/>
  </w:num>
  <w:num w:numId="12" w16cid:durableId="2050762292">
    <w:abstractNumId w:val="36"/>
  </w:num>
  <w:num w:numId="13" w16cid:durableId="375980321">
    <w:abstractNumId w:val="29"/>
  </w:num>
  <w:num w:numId="14" w16cid:durableId="452098837">
    <w:abstractNumId w:val="5"/>
  </w:num>
  <w:num w:numId="15" w16cid:durableId="116874262">
    <w:abstractNumId w:val="17"/>
  </w:num>
  <w:num w:numId="16" w16cid:durableId="625354306">
    <w:abstractNumId w:val="12"/>
  </w:num>
  <w:num w:numId="17" w16cid:durableId="1560479955">
    <w:abstractNumId w:val="38"/>
  </w:num>
  <w:num w:numId="18" w16cid:durableId="331757307">
    <w:abstractNumId w:val="7"/>
  </w:num>
  <w:num w:numId="19" w16cid:durableId="2109807634">
    <w:abstractNumId w:val="31"/>
  </w:num>
  <w:num w:numId="20" w16cid:durableId="1293246751">
    <w:abstractNumId w:val="10"/>
  </w:num>
  <w:num w:numId="21" w16cid:durableId="884101107">
    <w:abstractNumId w:val="14"/>
  </w:num>
  <w:num w:numId="22" w16cid:durableId="1367172571">
    <w:abstractNumId w:val="11"/>
  </w:num>
  <w:num w:numId="23" w16cid:durableId="1551380937">
    <w:abstractNumId w:val="4"/>
  </w:num>
  <w:num w:numId="24" w16cid:durableId="1826773400">
    <w:abstractNumId w:val="24"/>
  </w:num>
  <w:num w:numId="25" w16cid:durableId="472017963">
    <w:abstractNumId w:val="8"/>
  </w:num>
  <w:num w:numId="26" w16cid:durableId="625308984">
    <w:abstractNumId w:val="35"/>
  </w:num>
  <w:num w:numId="27" w16cid:durableId="989409051">
    <w:abstractNumId w:val="21"/>
  </w:num>
  <w:num w:numId="28" w16cid:durableId="121272289">
    <w:abstractNumId w:val="13"/>
  </w:num>
  <w:num w:numId="29" w16cid:durableId="769936873">
    <w:abstractNumId w:val="30"/>
  </w:num>
  <w:num w:numId="30" w16cid:durableId="2030138013">
    <w:abstractNumId w:val="18"/>
  </w:num>
  <w:num w:numId="31" w16cid:durableId="1009217323">
    <w:abstractNumId w:val="15"/>
  </w:num>
  <w:num w:numId="32" w16cid:durableId="175116580">
    <w:abstractNumId w:val="2"/>
  </w:num>
  <w:num w:numId="33" w16cid:durableId="1499348295">
    <w:abstractNumId w:val="22"/>
  </w:num>
  <w:num w:numId="34" w16cid:durableId="495612044">
    <w:abstractNumId w:val="39"/>
  </w:num>
  <w:num w:numId="35" w16cid:durableId="308436230">
    <w:abstractNumId w:val="34"/>
  </w:num>
  <w:num w:numId="36" w16cid:durableId="1840926534">
    <w:abstractNumId w:val="23"/>
  </w:num>
  <w:num w:numId="37" w16cid:durableId="508983922">
    <w:abstractNumId w:val="20"/>
  </w:num>
  <w:num w:numId="38" w16cid:durableId="638415442">
    <w:abstractNumId w:val="19"/>
  </w:num>
  <w:num w:numId="39" w16cid:durableId="111636455">
    <w:abstractNumId w:val="25"/>
  </w:num>
  <w:num w:numId="40" w16cid:durableId="49075536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AED"/>
    <w:rsid w:val="000D1F37"/>
    <w:rsid w:val="0010141E"/>
    <w:rsid w:val="00104F0F"/>
    <w:rsid w:val="001C6100"/>
    <w:rsid w:val="00492727"/>
    <w:rsid w:val="005766CB"/>
    <w:rsid w:val="006974FC"/>
    <w:rsid w:val="00762171"/>
    <w:rsid w:val="007B116E"/>
    <w:rsid w:val="009465B8"/>
    <w:rsid w:val="009D00D9"/>
    <w:rsid w:val="00A55901"/>
    <w:rsid w:val="00A837D4"/>
    <w:rsid w:val="00B15AED"/>
    <w:rsid w:val="00B72977"/>
    <w:rsid w:val="00C33F54"/>
    <w:rsid w:val="00CF77C1"/>
    <w:rsid w:val="00D235A2"/>
    <w:rsid w:val="00DA0F10"/>
    <w:rsid w:val="00DA5B42"/>
    <w:rsid w:val="00F3394F"/>
    <w:rsid w:val="00FD63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F1E57"/>
  <w15:chartTrackingRefBased/>
  <w15:docId w15:val="{D5D297E4-4E1C-40F3-AD1D-8DCAB0107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7D4"/>
  </w:style>
  <w:style w:type="paragraph" w:styleId="Ttulo1">
    <w:name w:val="heading 1"/>
    <w:basedOn w:val="Normal"/>
    <w:next w:val="Normal"/>
    <w:link w:val="Ttulo1Char"/>
    <w:uiPriority w:val="9"/>
    <w:qFormat/>
    <w:rsid w:val="00B15A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15A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B15AE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15AE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15AE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15AE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15AE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15AE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15AE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15AED"/>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15AED"/>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15AED"/>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15AED"/>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15AED"/>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15AE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15AE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15AE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15AED"/>
    <w:rPr>
      <w:rFonts w:eastAsiaTheme="majorEastAsia" w:cstheme="majorBidi"/>
      <w:color w:val="272727" w:themeColor="text1" w:themeTint="D8"/>
    </w:rPr>
  </w:style>
  <w:style w:type="paragraph" w:styleId="Ttulo">
    <w:name w:val="Title"/>
    <w:basedOn w:val="Normal"/>
    <w:next w:val="Normal"/>
    <w:link w:val="TtuloChar"/>
    <w:uiPriority w:val="10"/>
    <w:qFormat/>
    <w:rsid w:val="00B15A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15AE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15AE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15AE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15AED"/>
    <w:pPr>
      <w:spacing w:before="160"/>
      <w:jc w:val="center"/>
    </w:pPr>
    <w:rPr>
      <w:i/>
      <w:iCs/>
      <w:color w:val="404040" w:themeColor="text1" w:themeTint="BF"/>
    </w:rPr>
  </w:style>
  <w:style w:type="character" w:customStyle="1" w:styleId="CitaoChar">
    <w:name w:val="Citação Char"/>
    <w:basedOn w:val="Fontepargpadro"/>
    <w:link w:val="Citao"/>
    <w:uiPriority w:val="29"/>
    <w:rsid w:val="00B15AED"/>
    <w:rPr>
      <w:i/>
      <w:iCs/>
      <w:color w:val="404040" w:themeColor="text1" w:themeTint="BF"/>
    </w:rPr>
  </w:style>
  <w:style w:type="paragraph" w:styleId="PargrafodaLista">
    <w:name w:val="List Paragraph"/>
    <w:basedOn w:val="Normal"/>
    <w:uiPriority w:val="34"/>
    <w:qFormat/>
    <w:rsid w:val="00B15AED"/>
    <w:pPr>
      <w:ind w:left="720"/>
      <w:contextualSpacing/>
    </w:pPr>
  </w:style>
  <w:style w:type="character" w:styleId="nfaseIntensa">
    <w:name w:val="Intense Emphasis"/>
    <w:basedOn w:val="Fontepargpadro"/>
    <w:uiPriority w:val="21"/>
    <w:qFormat/>
    <w:rsid w:val="00B15AED"/>
    <w:rPr>
      <w:i/>
      <w:iCs/>
      <w:color w:val="0F4761" w:themeColor="accent1" w:themeShade="BF"/>
    </w:rPr>
  </w:style>
  <w:style w:type="paragraph" w:styleId="CitaoIntensa">
    <w:name w:val="Intense Quote"/>
    <w:basedOn w:val="Normal"/>
    <w:next w:val="Normal"/>
    <w:link w:val="CitaoIntensaChar"/>
    <w:uiPriority w:val="30"/>
    <w:qFormat/>
    <w:rsid w:val="00B15A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15AED"/>
    <w:rPr>
      <w:i/>
      <w:iCs/>
      <w:color w:val="0F4761" w:themeColor="accent1" w:themeShade="BF"/>
    </w:rPr>
  </w:style>
  <w:style w:type="character" w:styleId="RefernciaIntensa">
    <w:name w:val="Intense Reference"/>
    <w:basedOn w:val="Fontepargpadro"/>
    <w:uiPriority w:val="32"/>
    <w:qFormat/>
    <w:rsid w:val="00B15AED"/>
    <w:rPr>
      <w:b/>
      <w:bCs/>
      <w:smallCaps/>
      <w:color w:val="0F4761" w:themeColor="accent1" w:themeShade="BF"/>
      <w:spacing w:val="5"/>
    </w:rPr>
  </w:style>
  <w:style w:type="paragraph" w:styleId="Cabealho">
    <w:name w:val="header"/>
    <w:basedOn w:val="Normal"/>
    <w:link w:val="CabealhoChar"/>
    <w:uiPriority w:val="99"/>
    <w:unhideWhenUsed/>
    <w:rsid w:val="00B15A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15AED"/>
  </w:style>
  <w:style w:type="paragraph" w:styleId="Rodap">
    <w:name w:val="footer"/>
    <w:basedOn w:val="Normal"/>
    <w:link w:val="RodapChar"/>
    <w:uiPriority w:val="99"/>
    <w:unhideWhenUsed/>
    <w:rsid w:val="00B15AED"/>
    <w:pPr>
      <w:tabs>
        <w:tab w:val="center" w:pos="4252"/>
        <w:tab w:val="right" w:pos="8504"/>
      </w:tabs>
      <w:spacing w:after="0" w:line="240" w:lineRule="auto"/>
    </w:pPr>
  </w:style>
  <w:style w:type="character" w:customStyle="1" w:styleId="RodapChar">
    <w:name w:val="Rodapé Char"/>
    <w:basedOn w:val="Fontepargpadro"/>
    <w:link w:val="Rodap"/>
    <w:uiPriority w:val="99"/>
    <w:rsid w:val="00B15AED"/>
  </w:style>
  <w:style w:type="paragraph" w:styleId="Textodenotaderodap">
    <w:name w:val="footnote text"/>
    <w:basedOn w:val="Normal"/>
    <w:link w:val="TextodenotaderodapChar"/>
    <w:uiPriority w:val="99"/>
    <w:semiHidden/>
    <w:unhideWhenUsed/>
    <w:rsid w:val="00A55901"/>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A55901"/>
    <w:rPr>
      <w:sz w:val="20"/>
      <w:szCs w:val="20"/>
    </w:rPr>
  </w:style>
  <w:style w:type="character" w:styleId="Refdenotaderodap">
    <w:name w:val="footnote reference"/>
    <w:basedOn w:val="Fontepargpadro"/>
    <w:uiPriority w:val="99"/>
    <w:semiHidden/>
    <w:unhideWhenUsed/>
    <w:rsid w:val="00A55901"/>
    <w:rPr>
      <w:vertAlign w:val="superscript"/>
    </w:rPr>
  </w:style>
  <w:style w:type="character" w:styleId="Hyperlink">
    <w:name w:val="Hyperlink"/>
    <w:basedOn w:val="Fontepargpadro"/>
    <w:uiPriority w:val="99"/>
    <w:unhideWhenUsed/>
    <w:rsid w:val="00A55901"/>
    <w:rPr>
      <w:color w:val="467886" w:themeColor="hyperlink"/>
      <w:u w:val="single"/>
    </w:rPr>
  </w:style>
  <w:style w:type="character" w:styleId="MenoPendente">
    <w:name w:val="Unresolved Mention"/>
    <w:basedOn w:val="Fontepargpadro"/>
    <w:uiPriority w:val="99"/>
    <w:semiHidden/>
    <w:unhideWhenUsed/>
    <w:rsid w:val="00A55901"/>
    <w:rPr>
      <w:color w:val="605E5C"/>
      <w:shd w:val="clear" w:color="auto" w:fill="E1DFDD"/>
    </w:rPr>
  </w:style>
  <w:style w:type="paragraph" w:styleId="NormalWeb">
    <w:name w:val="Normal (Web)"/>
    <w:basedOn w:val="Normal"/>
    <w:uiPriority w:val="99"/>
    <w:semiHidden/>
    <w:unhideWhenUsed/>
    <w:rsid w:val="00D235A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34846">
      <w:bodyDiv w:val="1"/>
      <w:marLeft w:val="0"/>
      <w:marRight w:val="0"/>
      <w:marTop w:val="0"/>
      <w:marBottom w:val="0"/>
      <w:divBdr>
        <w:top w:val="none" w:sz="0" w:space="0" w:color="auto"/>
        <w:left w:val="none" w:sz="0" w:space="0" w:color="auto"/>
        <w:bottom w:val="none" w:sz="0" w:space="0" w:color="auto"/>
        <w:right w:val="none" w:sz="0" w:space="0" w:color="auto"/>
      </w:divBdr>
    </w:div>
    <w:div w:id="48042621">
      <w:bodyDiv w:val="1"/>
      <w:marLeft w:val="0"/>
      <w:marRight w:val="0"/>
      <w:marTop w:val="0"/>
      <w:marBottom w:val="0"/>
      <w:divBdr>
        <w:top w:val="none" w:sz="0" w:space="0" w:color="auto"/>
        <w:left w:val="none" w:sz="0" w:space="0" w:color="auto"/>
        <w:bottom w:val="none" w:sz="0" w:space="0" w:color="auto"/>
        <w:right w:val="none" w:sz="0" w:space="0" w:color="auto"/>
      </w:divBdr>
    </w:div>
    <w:div w:id="89592447">
      <w:bodyDiv w:val="1"/>
      <w:marLeft w:val="0"/>
      <w:marRight w:val="0"/>
      <w:marTop w:val="0"/>
      <w:marBottom w:val="0"/>
      <w:divBdr>
        <w:top w:val="none" w:sz="0" w:space="0" w:color="auto"/>
        <w:left w:val="none" w:sz="0" w:space="0" w:color="auto"/>
        <w:bottom w:val="none" w:sz="0" w:space="0" w:color="auto"/>
        <w:right w:val="none" w:sz="0" w:space="0" w:color="auto"/>
      </w:divBdr>
    </w:div>
    <w:div w:id="128783758">
      <w:bodyDiv w:val="1"/>
      <w:marLeft w:val="0"/>
      <w:marRight w:val="0"/>
      <w:marTop w:val="0"/>
      <w:marBottom w:val="0"/>
      <w:divBdr>
        <w:top w:val="none" w:sz="0" w:space="0" w:color="auto"/>
        <w:left w:val="none" w:sz="0" w:space="0" w:color="auto"/>
        <w:bottom w:val="none" w:sz="0" w:space="0" w:color="auto"/>
        <w:right w:val="none" w:sz="0" w:space="0" w:color="auto"/>
      </w:divBdr>
    </w:div>
    <w:div w:id="152458520">
      <w:bodyDiv w:val="1"/>
      <w:marLeft w:val="0"/>
      <w:marRight w:val="0"/>
      <w:marTop w:val="0"/>
      <w:marBottom w:val="0"/>
      <w:divBdr>
        <w:top w:val="none" w:sz="0" w:space="0" w:color="auto"/>
        <w:left w:val="none" w:sz="0" w:space="0" w:color="auto"/>
        <w:bottom w:val="none" w:sz="0" w:space="0" w:color="auto"/>
        <w:right w:val="none" w:sz="0" w:space="0" w:color="auto"/>
      </w:divBdr>
    </w:div>
    <w:div w:id="163740644">
      <w:bodyDiv w:val="1"/>
      <w:marLeft w:val="0"/>
      <w:marRight w:val="0"/>
      <w:marTop w:val="0"/>
      <w:marBottom w:val="0"/>
      <w:divBdr>
        <w:top w:val="none" w:sz="0" w:space="0" w:color="auto"/>
        <w:left w:val="none" w:sz="0" w:space="0" w:color="auto"/>
        <w:bottom w:val="none" w:sz="0" w:space="0" w:color="auto"/>
        <w:right w:val="none" w:sz="0" w:space="0" w:color="auto"/>
      </w:divBdr>
    </w:div>
    <w:div w:id="179399686">
      <w:bodyDiv w:val="1"/>
      <w:marLeft w:val="0"/>
      <w:marRight w:val="0"/>
      <w:marTop w:val="0"/>
      <w:marBottom w:val="0"/>
      <w:divBdr>
        <w:top w:val="none" w:sz="0" w:space="0" w:color="auto"/>
        <w:left w:val="none" w:sz="0" w:space="0" w:color="auto"/>
        <w:bottom w:val="none" w:sz="0" w:space="0" w:color="auto"/>
        <w:right w:val="none" w:sz="0" w:space="0" w:color="auto"/>
      </w:divBdr>
      <w:divsChild>
        <w:div w:id="738291543">
          <w:marLeft w:val="0"/>
          <w:marRight w:val="0"/>
          <w:marTop w:val="0"/>
          <w:marBottom w:val="0"/>
          <w:divBdr>
            <w:top w:val="none" w:sz="0" w:space="0" w:color="auto"/>
            <w:left w:val="none" w:sz="0" w:space="0" w:color="auto"/>
            <w:bottom w:val="none" w:sz="0" w:space="0" w:color="auto"/>
            <w:right w:val="none" w:sz="0" w:space="0" w:color="auto"/>
          </w:divBdr>
          <w:divsChild>
            <w:div w:id="1769961498">
              <w:marLeft w:val="0"/>
              <w:marRight w:val="0"/>
              <w:marTop w:val="0"/>
              <w:marBottom w:val="0"/>
              <w:divBdr>
                <w:top w:val="none" w:sz="0" w:space="0" w:color="auto"/>
                <w:left w:val="none" w:sz="0" w:space="0" w:color="auto"/>
                <w:bottom w:val="none" w:sz="0" w:space="0" w:color="auto"/>
                <w:right w:val="none" w:sz="0" w:space="0" w:color="auto"/>
              </w:divBdr>
              <w:divsChild>
                <w:div w:id="706877758">
                  <w:marLeft w:val="0"/>
                  <w:marRight w:val="0"/>
                  <w:marTop w:val="0"/>
                  <w:marBottom w:val="0"/>
                  <w:divBdr>
                    <w:top w:val="none" w:sz="0" w:space="0" w:color="auto"/>
                    <w:left w:val="none" w:sz="0" w:space="0" w:color="auto"/>
                    <w:bottom w:val="none" w:sz="0" w:space="0" w:color="auto"/>
                    <w:right w:val="none" w:sz="0" w:space="0" w:color="auto"/>
                  </w:divBdr>
                  <w:divsChild>
                    <w:div w:id="32193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49447">
      <w:bodyDiv w:val="1"/>
      <w:marLeft w:val="0"/>
      <w:marRight w:val="0"/>
      <w:marTop w:val="0"/>
      <w:marBottom w:val="0"/>
      <w:divBdr>
        <w:top w:val="none" w:sz="0" w:space="0" w:color="auto"/>
        <w:left w:val="none" w:sz="0" w:space="0" w:color="auto"/>
        <w:bottom w:val="none" w:sz="0" w:space="0" w:color="auto"/>
        <w:right w:val="none" w:sz="0" w:space="0" w:color="auto"/>
      </w:divBdr>
    </w:div>
    <w:div w:id="188762954">
      <w:bodyDiv w:val="1"/>
      <w:marLeft w:val="0"/>
      <w:marRight w:val="0"/>
      <w:marTop w:val="0"/>
      <w:marBottom w:val="0"/>
      <w:divBdr>
        <w:top w:val="none" w:sz="0" w:space="0" w:color="auto"/>
        <w:left w:val="none" w:sz="0" w:space="0" w:color="auto"/>
        <w:bottom w:val="none" w:sz="0" w:space="0" w:color="auto"/>
        <w:right w:val="none" w:sz="0" w:space="0" w:color="auto"/>
      </w:divBdr>
    </w:div>
    <w:div w:id="199360965">
      <w:bodyDiv w:val="1"/>
      <w:marLeft w:val="0"/>
      <w:marRight w:val="0"/>
      <w:marTop w:val="0"/>
      <w:marBottom w:val="0"/>
      <w:divBdr>
        <w:top w:val="none" w:sz="0" w:space="0" w:color="auto"/>
        <w:left w:val="none" w:sz="0" w:space="0" w:color="auto"/>
        <w:bottom w:val="none" w:sz="0" w:space="0" w:color="auto"/>
        <w:right w:val="none" w:sz="0" w:space="0" w:color="auto"/>
      </w:divBdr>
      <w:divsChild>
        <w:div w:id="1527254447">
          <w:marLeft w:val="0"/>
          <w:marRight w:val="0"/>
          <w:marTop w:val="0"/>
          <w:marBottom w:val="0"/>
          <w:divBdr>
            <w:top w:val="none" w:sz="0" w:space="0" w:color="auto"/>
            <w:left w:val="none" w:sz="0" w:space="0" w:color="auto"/>
            <w:bottom w:val="none" w:sz="0" w:space="0" w:color="auto"/>
            <w:right w:val="none" w:sz="0" w:space="0" w:color="auto"/>
          </w:divBdr>
          <w:divsChild>
            <w:div w:id="76440665">
              <w:marLeft w:val="0"/>
              <w:marRight w:val="0"/>
              <w:marTop w:val="0"/>
              <w:marBottom w:val="0"/>
              <w:divBdr>
                <w:top w:val="none" w:sz="0" w:space="0" w:color="auto"/>
                <w:left w:val="none" w:sz="0" w:space="0" w:color="auto"/>
                <w:bottom w:val="none" w:sz="0" w:space="0" w:color="auto"/>
                <w:right w:val="none" w:sz="0" w:space="0" w:color="auto"/>
              </w:divBdr>
              <w:divsChild>
                <w:div w:id="228924208">
                  <w:marLeft w:val="0"/>
                  <w:marRight w:val="0"/>
                  <w:marTop w:val="0"/>
                  <w:marBottom w:val="0"/>
                  <w:divBdr>
                    <w:top w:val="none" w:sz="0" w:space="0" w:color="auto"/>
                    <w:left w:val="none" w:sz="0" w:space="0" w:color="auto"/>
                    <w:bottom w:val="none" w:sz="0" w:space="0" w:color="auto"/>
                    <w:right w:val="none" w:sz="0" w:space="0" w:color="auto"/>
                  </w:divBdr>
                  <w:divsChild>
                    <w:div w:id="20602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39525">
      <w:bodyDiv w:val="1"/>
      <w:marLeft w:val="0"/>
      <w:marRight w:val="0"/>
      <w:marTop w:val="0"/>
      <w:marBottom w:val="0"/>
      <w:divBdr>
        <w:top w:val="none" w:sz="0" w:space="0" w:color="auto"/>
        <w:left w:val="none" w:sz="0" w:space="0" w:color="auto"/>
        <w:bottom w:val="none" w:sz="0" w:space="0" w:color="auto"/>
        <w:right w:val="none" w:sz="0" w:space="0" w:color="auto"/>
      </w:divBdr>
    </w:div>
    <w:div w:id="275524018">
      <w:bodyDiv w:val="1"/>
      <w:marLeft w:val="0"/>
      <w:marRight w:val="0"/>
      <w:marTop w:val="0"/>
      <w:marBottom w:val="0"/>
      <w:divBdr>
        <w:top w:val="none" w:sz="0" w:space="0" w:color="auto"/>
        <w:left w:val="none" w:sz="0" w:space="0" w:color="auto"/>
        <w:bottom w:val="none" w:sz="0" w:space="0" w:color="auto"/>
        <w:right w:val="none" w:sz="0" w:space="0" w:color="auto"/>
      </w:divBdr>
    </w:div>
    <w:div w:id="289558270">
      <w:bodyDiv w:val="1"/>
      <w:marLeft w:val="0"/>
      <w:marRight w:val="0"/>
      <w:marTop w:val="0"/>
      <w:marBottom w:val="0"/>
      <w:divBdr>
        <w:top w:val="none" w:sz="0" w:space="0" w:color="auto"/>
        <w:left w:val="none" w:sz="0" w:space="0" w:color="auto"/>
        <w:bottom w:val="none" w:sz="0" w:space="0" w:color="auto"/>
        <w:right w:val="none" w:sz="0" w:space="0" w:color="auto"/>
      </w:divBdr>
    </w:div>
    <w:div w:id="296647490">
      <w:bodyDiv w:val="1"/>
      <w:marLeft w:val="0"/>
      <w:marRight w:val="0"/>
      <w:marTop w:val="0"/>
      <w:marBottom w:val="0"/>
      <w:divBdr>
        <w:top w:val="none" w:sz="0" w:space="0" w:color="auto"/>
        <w:left w:val="none" w:sz="0" w:space="0" w:color="auto"/>
        <w:bottom w:val="none" w:sz="0" w:space="0" w:color="auto"/>
        <w:right w:val="none" w:sz="0" w:space="0" w:color="auto"/>
      </w:divBdr>
    </w:div>
    <w:div w:id="360866113">
      <w:bodyDiv w:val="1"/>
      <w:marLeft w:val="0"/>
      <w:marRight w:val="0"/>
      <w:marTop w:val="0"/>
      <w:marBottom w:val="0"/>
      <w:divBdr>
        <w:top w:val="none" w:sz="0" w:space="0" w:color="auto"/>
        <w:left w:val="none" w:sz="0" w:space="0" w:color="auto"/>
        <w:bottom w:val="none" w:sz="0" w:space="0" w:color="auto"/>
        <w:right w:val="none" w:sz="0" w:space="0" w:color="auto"/>
      </w:divBdr>
    </w:div>
    <w:div w:id="363605656">
      <w:bodyDiv w:val="1"/>
      <w:marLeft w:val="0"/>
      <w:marRight w:val="0"/>
      <w:marTop w:val="0"/>
      <w:marBottom w:val="0"/>
      <w:divBdr>
        <w:top w:val="none" w:sz="0" w:space="0" w:color="auto"/>
        <w:left w:val="none" w:sz="0" w:space="0" w:color="auto"/>
        <w:bottom w:val="none" w:sz="0" w:space="0" w:color="auto"/>
        <w:right w:val="none" w:sz="0" w:space="0" w:color="auto"/>
      </w:divBdr>
    </w:div>
    <w:div w:id="381487718">
      <w:bodyDiv w:val="1"/>
      <w:marLeft w:val="0"/>
      <w:marRight w:val="0"/>
      <w:marTop w:val="0"/>
      <w:marBottom w:val="0"/>
      <w:divBdr>
        <w:top w:val="none" w:sz="0" w:space="0" w:color="auto"/>
        <w:left w:val="none" w:sz="0" w:space="0" w:color="auto"/>
        <w:bottom w:val="none" w:sz="0" w:space="0" w:color="auto"/>
        <w:right w:val="none" w:sz="0" w:space="0" w:color="auto"/>
      </w:divBdr>
    </w:div>
    <w:div w:id="394861652">
      <w:bodyDiv w:val="1"/>
      <w:marLeft w:val="0"/>
      <w:marRight w:val="0"/>
      <w:marTop w:val="0"/>
      <w:marBottom w:val="0"/>
      <w:divBdr>
        <w:top w:val="none" w:sz="0" w:space="0" w:color="auto"/>
        <w:left w:val="none" w:sz="0" w:space="0" w:color="auto"/>
        <w:bottom w:val="none" w:sz="0" w:space="0" w:color="auto"/>
        <w:right w:val="none" w:sz="0" w:space="0" w:color="auto"/>
      </w:divBdr>
    </w:div>
    <w:div w:id="425004744">
      <w:bodyDiv w:val="1"/>
      <w:marLeft w:val="0"/>
      <w:marRight w:val="0"/>
      <w:marTop w:val="0"/>
      <w:marBottom w:val="0"/>
      <w:divBdr>
        <w:top w:val="none" w:sz="0" w:space="0" w:color="auto"/>
        <w:left w:val="none" w:sz="0" w:space="0" w:color="auto"/>
        <w:bottom w:val="none" w:sz="0" w:space="0" w:color="auto"/>
        <w:right w:val="none" w:sz="0" w:space="0" w:color="auto"/>
      </w:divBdr>
    </w:div>
    <w:div w:id="448744262">
      <w:bodyDiv w:val="1"/>
      <w:marLeft w:val="0"/>
      <w:marRight w:val="0"/>
      <w:marTop w:val="0"/>
      <w:marBottom w:val="0"/>
      <w:divBdr>
        <w:top w:val="none" w:sz="0" w:space="0" w:color="auto"/>
        <w:left w:val="none" w:sz="0" w:space="0" w:color="auto"/>
        <w:bottom w:val="none" w:sz="0" w:space="0" w:color="auto"/>
        <w:right w:val="none" w:sz="0" w:space="0" w:color="auto"/>
      </w:divBdr>
    </w:div>
    <w:div w:id="459878012">
      <w:bodyDiv w:val="1"/>
      <w:marLeft w:val="0"/>
      <w:marRight w:val="0"/>
      <w:marTop w:val="0"/>
      <w:marBottom w:val="0"/>
      <w:divBdr>
        <w:top w:val="none" w:sz="0" w:space="0" w:color="auto"/>
        <w:left w:val="none" w:sz="0" w:space="0" w:color="auto"/>
        <w:bottom w:val="none" w:sz="0" w:space="0" w:color="auto"/>
        <w:right w:val="none" w:sz="0" w:space="0" w:color="auto"/>
      </w:divBdr>
    </w:div>
    <w:div w:id="468324766">
      <w:bodyDiv w:val="1"/>
      <w:marLeft w:val="0"/>
      <w:marRight w:val="0"/>
      <w:marTop w:val="0"/>
      <w:marBottom w:val="0"/>
      <w:divBdr>
        <w:top w:val="none" w:sz="0" w:space="0" w:color="auto"/>
        <w:left w:val="none" w:sz="0" w:space="0" w:color="auto"/>
        <w:bottom w:val="none" w:sz="0" w:space="0" w:color="auto"/>
        <w:right w:val="none" w:sz="0" w:space="0" w:color="auto"/>
      </w:divBdr>
    </w:div>
    <w:div w:id="483818760">
      <w:bodyDiv w:val="1"/>
      <w:marLeft w:val="0"/>
      <w:marRight w:val="0"/>
      <w:marTop w:val="0"/>
      <w:marBottom w:val="0"/>
      <w:divBdr>
        <w:top w:val="none" w:sz="0" w:space="0" w:color="auto"/>
        <w:left w:val="none" w:sz="0" w:space="0" w:color="auto"/>
        <w:bottom w:val="none" w:sz="0" w:space="0" w:color="auto"/>
        <w:right w:val="none" w:sz="0" w:space="0" w:color="auto"/>
      </w:divBdr>
    </w:div>
    <w:div w:id="494079180">
      <w:bodyDiv w:val="1"/>
      <w:marLeft w:val="0"/>
      <w:marRight w:val="0"/>
      <w:marTop w:val="0"/>
      <w:marBottom w:val="0"/>
      <w:divBdr>
        <w:top w:val="none" w:sz="0" w:space="0" w:color="auto"/>
        <w:left w:val="none" w:sz="0" w:space="0" w:color="auto"/>
        <w:bottom w:val="none" w:sz="0" w:space="0" w:color="auto"/>
        <w:right w:val="none" w:sz="0" w:space="0" w:color="auto"/>
      </w:divBdr>
    </w:div>
    <w:div w:id="499808177">
      <w:bodyDiv w:val="1"/>
      <w:marLeft w:val="0"/>
      <w:marRight w:val="0"/>
      <w:marTop w:val="0"/>
      <w:marBottom w:val="0"/>
      <w:divBdr>
        <w:top w:val="none" w:sz="0" w:space="0" w:color="auto"/>
        <w:left w:val="none" w:sz="0" w:space="0" w:color="auto"/>
        <w:bottom w:val="none" w:sz="0" w:space="0" w:color="auto"/>
        <w:right w:val="none" w:sz="0" w:space="0" w:color="auto"/>
      </w:divBdr>
    </w:div>
    <w:div w:id="515848157">
      <w:bodyDiv w:val="1"/>
      <w:marLeft w:val="0"/>
      <w:marRight w:val="0"/>
      <w:marTop w:val="0"/>
      <w:marBottom w:val="0"/>
      <w:divBdr>
        <w:top w:val="none" w:sz="0" w:space="0" w:color="auto"/>
        <w:left w:val="none" w:sz="0" w:space="0" w:color="auto"/>
        <w:bottom w:val="none" w:sz="0" w:space="0" w:color="auto"/>
        <w:right w:val="none" w:sz="0" w:space="0" w:color="auto"/>
      </w:divBdr>
    </w:div>
    <w:div w:id="525097379">
      <w:bodyDiv w:val="1"/>
      <w:marLeft w:val="0"/>
      <w:marRight w:val="0"/>
      <w:marTop w:val="0"/>
      <w:marBottom w:val="0"/>
      <w:divBdr>
        <w:top w:val="none" w:sz="0" w:space="0" w:color="auto"/>
        <w:left w:val="none" w:sz="0" w:space="0" w:color="auto"/>
        <w:bottom w:val="none" w:sz="0" w:space="0" w:color="auto"/>
        <w:right w:val="none" w:sz="0" w:space="0" w:color="auto"/>
      </w:divBdr>
    </w:div>
    <w:div w:id="594486378">
      <w:bodyDiv w:val="1"/>
      <w:marLeft w:val="0"/>
      <w:marRight w:val="0"/>
      <w:marTop w:val="0"/>
      <w:marBottom w:val="0"/>
      <w:divBdr>
        <w:top w:val="none" w:sz="0" w:space="0" w:color="auto"/>
        <w:left w:val="none" w:sz="0" w:space="0" w:color="auto"/>
        <w:bottom w:val="none" w:sz="0" w:space="0" w:color="auto"/>
        <w:right w:val="none" w:sz="0" w:space="0" w:color="auto"/>
      </w:divBdr>
    </w:div>
    <w:div w:id="601954131">
      <w:bodyDiv w:val="1"/>
      <w:marLeft w:val="0"/>
      <w:marRight w:val="0"/>
      <w:marTop w:val="0"/>
      <w:marBottom w:val="0"/>
      <w:divBdr>
        <w:top w:val="none" w:sz="0" w:space="0" w:color="auto"/>
        <w:left w:val="none" w:sz="0" w:space="0" w:color="auto"/>
        <w:bottom w:val="none" w:sz="0" w:space="0" w:color="auto"/>
        <w:right w:val="none" w:sz="0" w:space="0" w:color="auto"/>
      </w:divBdr>
    </w:div>
    <w:div w:id="618684176">
      <w:bodyDiv w:val="1"/>
      <w:marLeft w:val="0"/>
      <w:marRight w:val="0"/>
      <w:marTop w:val="0"/>
      <w:marBottom w:val="0"/>
      <w:divBdr>
        <w:top w:val="none" w:sz="0" w:space="0" w:color="auto"/>
        <w:left w:val="none" w:sz="0" w:space="0" w:color="auto"/>
        <w:bottom w:val="none" w:sz="0" w:space="0" w:color="auto"/>
        <w:right w:val="none" w:sz="0" w:space="0" w:color="auto"/>
      </w:divBdr>
    </w:div>
    <w:div w:id="639770439">
      <w:bodyDiv w:val="1"/>
      <w:marLeft w:val="0"/>
      <w:marRight w:val="0"/>
      <w:marTop w:val="0"/>
      <w:marBottom w:val="0"/>
      <w:divBdr>
        <w:top w:val="none" w:sz="0" w:space="0" w:color="auto"/>
        <w:left w:val="none" w:sz="0" w:space="0" w:color="auto"/>
        <w:bottom w:val="none" w:sz="0" w:space="0" w:color="auto"/>
        <w:right w:val="none" w:sz="0" w:space="0" w:color="auto"/>
      </w:divBdr>
    </w:div>
    <w:div w:id="684476106">
      <w:bodyDiv w:val="1"/>
      <w:marLeft w:val="0"/>
      <w:marRight w:val="0"/>
      <w:marTop w:val="0"/>
      <w:marBottom w:val="0"/>
      <w:divBdr>
        <w:top w:val="none" w:sz="0" w:space="0" w:color="auto"/>
        <w:left w:val="none" w:sz="0" w:space="0" w:color="auto"/>
        <w:bottom w:val="none" w:sz="0" w:space="0" w:color="auto"/>
        <w:right w:val="none" w:sz="0" w:space="0" w:color="auto"/>
      </w:divBdr>
      <w:divsChild>
        <w:div w:id="2026007674">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692266682">
      <w:bodyDiv w:val="1"/>
      <w:marLeft w:val="0"/>
      <w:marRight w:val="0"/>
      <w:marTop w:val="0"/>
      <w:marBottom w:val="0"/>
      <w:divBdr>
        <w:top w:val="none" w:sz="0" w:space="0" w:color="auto"/>
        <w:left w:val="none" w:sz="0" w:space="0" w:color="auto"/>
        <w:bottom w:val="none" w:sz="0" w:space="0" w:color="auto"/>
        <w:right w:val="none" w:sz="0" w:space="0" w:color="auto"/>
      </w:divBdr>
      <w:divsChild>
        <w:div w:id="483350795">
          <w:marLeft w:val="0"/>
          <w:marRight w:val="0"/>
          <w:marTop w:val="0"/>
          <w:marBottom w:val="0"/>
          <w:divBdr>
            <w:top w:val="none" w:sz="0" w:space="0" w:color="auto"/>
            <w:left w:val="none" w:sz="0" w:space="0" w:color="auto"/>
            <w:bottom w:val="none" w:sz="0" w:space="0" w:color="auto"/>
            <w:right w:val="none" w:sz="0" w:space="0" w:color="auto"/>
          </w:divBdr>
          <w:divsChild>
            <w:div w:id="637807483">
              <w:marLeft w:val="0"/>
              <w:marRight w:val="0"/>
              <w:marTop w:val="0"/>
              <w:marBottom w:val="0"/>
              <w:divBdr>
                <w:top w:val="none" w:sz="0" w:space="0" w:color="auto"/>
                <w:left w:val="none" w:sz="0" w:space="0" w:color="auto"/>
                <w:bottom w:val="none" w:sz="0" w:space="0" w:color="auto"/>
                <w:right w:val="none" w:sz="0" w:space="0" w:color="auto"/>
              </w:divBdr>
              <w:divsChild>
                <w:div w:id="1118255075">
                  <w:marLeft w:val="0"/>
                  <w:marRight w:val="0"/>
                  <w:marTop w:val="0"/>
                  <w:marBottom w:val="0"/>
                  <w:divBdr>
                    <w:top w:val="none" w:sz="0" w:space="0" w:color="auto"/>
                    <w:left w:val="none" w:sz="0" w:space="0" w:color="auto"/>
                    <w:bottom w:val="none" w:sz="0" w:space="0" w:color="auto"/>
                    <w:right w:val="none" w:sz="0" w:space="0" w:color="auto"/>
                  </w:divBdr>
                  <w:divsChild>
                    <w:div w:id="238368957">
                      <w:marLeft w:val="0"/>
                      <w:marRight w:val="0"/>
                      <w:marTop w:val="0"/>
                      <w:marBottom w:val="0"/>
                      <w:divBdr>
                        <w:top w:val="none" w:sz="0" w:space="0" w:color="auto"/>
                        <w:left w:val="none" w:sz="0" w:space="0" w:color="auto"/>
                        <w:bottom w:val="none" w:sz="0" w:space="0" w:color="auto"/>
                        <w:right w:val="none" w:sz="0" w:space="0" w:color="auto"/>
                      </w:divBdr>
                      <w:divsChild>
                        <w:div w:id="2011910507">
                          <w:marLeft w:val="0"/>
                          <w:marRight w:val="0"/>
                          <w:marTop w:val="0"/>
                          <w:marBottom w:val="0"/>
                          <w:divBdr>
                            <w:top w:val="none" w:sz="0" w:space="0" w:color="auto"/>
                            <w:left w:val="none" w:sz="0" w:space="0" w:color="auto"/>
                            <w:bottom w:val="none" w:sz="0" w:space="0" w:color="auto"/>
                            <w:right w:val="none" w:sz="0" w:space="0" w:color="auto"/>
                          </w:divBdr>
                          <w:divsChild>
                            <w:div w:id="138918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87359">
      <w:bodyDiv w:val="1"/>
      <w:marLeft w:val="0"/>
      <w:marRight w:val="0"/>
      <w:marTop w:val="0"/>
      <w:marBottom w:val="0"/>
      <w:divBdr>
        <w:top w:val="none" w:sz="0" w:space="0" w:color="auto"/>
        <w:left w:val="none" w:sz="0" w:space="0" w:color="auto"/>
        <w:bottom w:val="none" w:sz="0" w:space="0" w:color="auto"/>
        <w:right w:val="none" w:sz="0" w:space="0" w:color="auto"/>
      </w:divBdr>
    </w:div>
    <w:div w:id="743379518">
      <w:bodyDiv w:val="1"/>
      <w:marLeft w:val="0"/>
      <w:marRight w:val="0"/>
      <w:marTop w:val="0"/>
      <w:marBottom w:val="0"/>
      <w:divBdr>
        <w:top w:val="none" w:sz="0" w:space="0" w:color="auto"/>
        <w:left w:val="none" w:sz="0" w:space="0" w:color="auto"/>
        <w:bottom w:val="none" w:sz="0" w:space="0" w:color="auto"/>
        <w:right w:val="none" w:sz="0" w:space="0" w:color="auto"/>
      </w:divBdr>
    </w:div>
    <w:div w:id="761338033">
      <w:bodyDiv w:val="1"/>
      <w:marLeft w:val="0"/>
      <w:marRight w:val="0"/>
      <w:marTop w:val="0"/>
      <w:marBottom w:val="0"/>
      <w:divBdr>
        <w:top w:val="none" w:sz="0" w:space="0" w:color="auto"/>
        <w:left w:val="none" w:sz="0" w:space="0" w:color="auto"/>
        <w:bottom w:val="none" w:sz="0" w:space="0" w:color="auto"/>
        <w:right w:val="none" w:sz="0" w:space="0" w:color="auto"/>
      </w:divBdr>
    </w:div>
    <w:div w:id="763109947">
      <w:bodyDiv w:val="1"/>
      <w:marLeft w:val="0"/>
      <w:marRight w:val="0"/>
      <w:marTop w:val="0"/>
      <w:marBottom w:val="0"/>
      <w:divBdr>
        <w:top w:val="none" w:sz="0" w:space="0" w:color="auto"/>
        <w:left w:val="none" w:sz="0" w:space="0" w:color="auto"/>
        <w:bottom w:val="none" w:sz="0" w:space="0" w:color="auto"/>
        <w:right w:val="none" w:sz="0" w:space="0" w:color="auto"/>
      </w:divBdr>
    </w:div>
    <w:div w:id="788857612">
      <w:bodyDiv w:val="1"/>
      <w:marLeft w:val="0"/>
      <w:marRight w:val="0"/>
      <w:marTop w:val="0"/>
      <w:marBottom w:val="0"/>
      <w:divBdr>
        <w:top w:val="none" w:sz="0" w:space="0" w:color="auto"/>
        <w:left w:val="none" w:sz="0" w:space="0" w:color="auto"/>
        <w:bottom w:val="none" w:sz="0" w:space="0" w:color="auto"/>
        <w:right w:val="none" w:sz="0" w:space="0" w:color="auto"/>
      </w:divBdr>
    </w:div>
    <w:div w:id="794056672">
      <w:bodyDiv w:val="1"/>
      <w:marLeft w:val="0"/>
      <w:marRight w:val="0"/>
      <w:marTop w:val="0"/>
      <w:marBottom w:val="0"/>
      <w:divBdr>
        <w:top w:val="none" w:sz="0" w:space="0" w:color="auto"/>
        <w:left w:val="none" w:sz="0" w:space="0" w:color="auto"/>
        <w:bottom w:val="none" w:sz="0" w:space="0" w:color="auto"/>
        <w:right w:val="none" w:sz="0" w:space="0" w:color="auto"/>
      </w:divBdr>
    </w:div>
    <w:div w:id="797921059">
      <w:bodyDiv w:val="1"/>
      <w:marLeft w:val="0"/>
      <w:marRight w:val="0"/>
      <w:marTop w:val="0"/>
      <w:marBottom w:val="0"/>
      <w:divBdr>
        <w:top w:val="none" w:sz="0" w:space="0" w:color="auto"/>
        <w:left w:val="none" w:sz="0" w:space="0" w:color="auto"/>
        <w:bottom w:val="none" w:sz="0" w:space="0" w:color="auto"/>
        <w:right w:val="none" w:sz="0" w:space="0" w:color="auto"/>
      </w:divBdr>
    </w:div>
    <w:div w:id="812214205">
      <w:bodyDiv w:val="1"/>
      <w:marLeft w:val="0"/>
      <w:marRight w:val="0"/>
      <w:marTop w:val="0"/>
      <w:marBottom w:val="0"/>
      <w:divBdr>
        <w:top w:val="none" w:sz="0" w:space="0" w:color="auto"/>
        <w:left w:val="none" w:sz="0" w:space="0" w:color="auto"/>
        <w:bottom w:val="none" w:sz="0" w:space="0" w:color="auto"/>
        <w:right w:val="none" w:sz="0" w:space="0" w:color="auto"/>
      </w:divBdr>
    </w:div>
    <w:div w:id="830176353">
      <w:bodyDiv w:val="1"/>
      <w:marLeft w:val="0"/>
      <w:marRight w:val="0"/>
      <w:marTop w:val="0"/>
      <w:marBottom w:val="0"/>
      <w:divBdr>
        <w:top w:val="none" w:sz="0" w:space="0" w:color="auto"/>
        <w:left w:val="none" w:sz="0" w:space="0" w:color="auto"/>
        <w:bottom w:val="none" w:sz="0" w:space="0" w:color="auto"/>
        <w:right w:val="none" w:sz="0" w:space="0" w:color="auto"/>
      </w:divBdr>
      <w:divsChild>
        <w:div w:id="2073847116">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833912674">
      <w:bodyDiv w:val="1"/>
      <w:marLeft w:val="0"/>
      <w:marRight w:val="0"/>
      <w:marTop w:val="0"/>
      <w:marBottom w:val="0"/>
      <w:divBdr>
        <w:top w:val="none" w:sz="0" w:space="0" w:color="auto"/>
        <w:left w:val="none" w:sz="0" w:space="0" w:color="auto"/>
        <w:bottom w:val="none" w:sz="0" w:space="0" w:color="auto"/>
        <w:right w:val="none" w:sz="0" w:space="0" w:color="auto"/>
      </w:divBdr>
    </w:div>
    <w:div w:id="848714186">
      <w:bodyDiv w:val="1"/>
      <w:marLeft w:val="0"/>
      <w:marRight w:val="0"/>
      <w:marTop w:val="0"/>
      <w:marBottom w:val="0"/>
      <w:divBdr>
        <w:top w:val="none" w:sz="0" w:space="0" w:color="auto"/>
        <w:left w:val="none" w:sz="0" w:space="0" w:color="auto"/>
        <w:bottom w:val="none" w:sz="0" w:space="0" w:color="auto"/>
        <w:right w:val="none" w:sz="0" w:space="0" w:color="auto"/>
      </w:divBdr>
      <w:divsChild>
        <w:div w:id="1482456074">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855509022">
      <w:bodyDiv w:val="1"/>
      <w:marLeft w:val="0"/>
      <w:marRight w:val="0"/>
      <w:marTop w:val="0"/>
      <w:marBottom w:val="0"/>
      <w:divBdr>
        <w:top w:val="none" w:sz="0" w:space="0" w:color="auto"/>
        <w:left w:val="none" w:sz="0" w:space="0" w:color="auto"/>
        <w:bottom w:val="none" w:sz="0" w:space="0" w:color="auto"/>
        <w:right w:val="none" w:sz="0" w:space="0" w:color="auto"/>
      </w:divBdr>
    </w:div>
    <w:div w:id="917060707">
      <w:bodyDiv w:val="1"/>
      <w:marLeft w:val="0"/>
      <w:marRight w:val="0"/>
      <w:marTop w:val="0"/>
      <w:marBottom w:val="0"/>
      <w:divBdr>
        <w:top w:val="none" w:sz="0" w:space="0" w:color="auto"/>
        <w:left w:val="none" w:sz="0" w:space="0" w:color="auto"/>
        <w:bottom w:val="none" w:sz="0" w:space="0" w:color="auto"/>
        <w:right w:val="none" w:sz="0" w:space="0" w:color="auto"/>
      </w:divBdr>
    </w:div>
    <w:div w:id="921373378">
      <w:bodyDiv w:val="1"/>
      <w:marLeft w:val="0"/>
      <w:marRight w:val="0"/>
      <w:marTop w:val="0"/>
      <w:marBottom w:val="0"/>
      <w:divBdr>
        <w:top w:val="none" w:sz="0" w:space="0" w:color="auto"/>
        <w:left w:val="none" w:sz="0" w:space="0" w:color="auto"/>
        <w:bottom w:val="none" w:sz="0" w:space="0" w:color="auto"/>
        <w:right w:val="none" w:sz="0" w:space="0" w:color="auto"/>
      </w:divBdr>
    </w:div>
    <w:div w:id="932015396">
      <w:bodyDiv w:val="1"/>
      <w:marLeft w:val="0"/>
      <w:marRight w:val="0"/>
      <w:marTop w:val="0"/>
      <w:marBottom w:val="0"/>
      <w:divBdr>
        <w:top w:val="none" w:sz="0" w:space="0" w:color="auto"/>
        <w:left w:val="none" w:sz="0" w:space="0" w:color="auto"/>
        <w:bottom w:val="none" w:sz="0" w:space="0" w:color="auto"/>
        <w:right w:val="none" w:sz="0" w:space="0" w:color="auto"/>
      </w:divBdr>
    </w:div>
    <w:div w:id="967198842">
      <w:bodyDiv w:val="1"/>
      <w:marLeft w:val="0"/>
      <w:marRight w:val="0"/>
      <w:marTop w:val="0"/>
      <w:marBottom w:val="0"/>
      <w:divBdr>
        <w:top w:val="none" w:sz="0" w:space="0" w:color="auto"/>
        <w:left w:val="none" w:sz="0" w:space="0" w:color="auto"/>
        <w:bottom w:val="none" w:sz="0" w:space="0" w:color="auto"/>
        <w:right w:val="none" w:sz="0" w:space="0" w:color="auto"/>
      </w:divBdr>
    </w:div>
    <w:div w:id="989480395">
      <w:bodyDiv w:val="1"/>
      <w:marLeft w:val="0"/>
      <w:marRight w:val="0"/>
      <w:marTop w:val="0"/>
      <w:marBottom w:val="0"/>
      <w:divBdr>
        <w:top w:val="none" w:sz="0" w:space="0" w:color="auto"/>
        <w:left w:val="none" w:sz="0" w:space="0" w:color="auto"/>
        <w:bottom w:val="none" w:sz="0" w:space="0" w:color="auto"/>
        <w:right w:val="none" w:sz="0" w:space="0" w:color="auto"/>
      </w:divBdr>
    </w:div>
    <w:div w:id="1002244520">
      <w:bodyDiv w:val="1"/>
      <w:marLeft w:val="0"/>
      <w:marRight w:val="0"/>
      <w:marTop w:val="0"/>
      <w:marBottom w:val="0"/>
      <w:divBdr>
        <w:top w:val="none" w:sz="0" w:space="0" w:color="auto"/>
        <w:left w:val="none" w:sz="0" w:space="0" w:color="auto"/>
        <w:bottom w:val="none" w:sz="0" w:space="0" w:color="auto"/>
        <w:right w:val="none" w:sz="0" w:space="0" w:color="auto"/>
      </w:divBdr>
    </w:div>
    <w:div w:id="1033463535">
      <w:bodyDiv w:val="1"/>
      <w:marLeft w:val="0"/>
      <w:marRight w:val="0"/>
      <w:marTop w:val="0"/>
      <w:marBottom w:val="0"/>
      <w:divBdr>
        <w:top w:val="none" w:sz="0" w:space="0" w:color="auto"/>
        <w:left w:val="none" w:sz="0" w:space="0" w:color="auto"/>
        <w:bottom w:val="none" w:sz="0" w:space="0" w:color="auto"/>
        <w:right w:val="none" w:sz="0" w:space="0" w:color="auto"/>
      </w:divBdr>
    </w:div>
    <w:div w:id="1056778084">
      <w:bodyDiv w:val="1"/>
      <w:marLeft w:val="0"/>
      <w:marRight w:val="0"/>
      <w:marTop w:val="0"/>
      <w:marBottom w:val="0"/>
      <w:divBdr>
        <w:top w:val="none" w:sz="0" w:space="0" w:color="auto"/>
        <w:left w:val="none" w:sz="0" w:space="0" w:color="auto"/>
        <w:bottom w:val="none" w:sz="0" w:space="0" w:color="auto"/>
        <w:right w:val="none" w:sz="0" w:space="0" w:color="auto"/>
      </w:divBdr>
    </w:div>
    <w:div w:id="1058361781">
      <w:bodyDiv w:val="1"/>
      <w:marLeft w:val="0"/>
      <w:marRight w:val="0"/>
      <w:marTop w:val="0"/>
      <w:marBottom w:val="0"/>
      <w:divBdr>
        <w:top w:val="none" w:sz="0" w:space="0" w:color="auto"/>
        <w:left w:val="none" w:sz="0" w:space="0" w:color="auto"/>
        <w:bottom w:val="none" w:sz="0" w:space="0" w:color="auto"/>
        <w:right w:val="none" w:sz="0" w:space="0" w:color="auto"/>
      </w:divBdr>
      <w:divsChild>
        <w:div w:id="456997450">
          <w:marLeft w:val="0"/>
          <w:marRight w:val="0"/>
          <w:marTop w:val="0"/>
          <w:marBottom w:val="0"/>
          <w:divBdr>
            <w:top w:val="none" w:sz="0" w:space="0" w:color="auto"/>
            <w:left w:val="none" w:sz="0" w:space="0" w:color="auto"/>
            <w:bottom w:val="none" w:sz="0" w:space="0" w:color="auto"/>
            <w:right w:val="none" w:sz="0" w:space="0" w:color="auto"/>
          </w:divBdr>
          <w:divsChild>
            <w:div w:id="1317029537">
              <w:marLeft w:val="0"/>
              <w:marRight w:val="0"/>
              <w:marTop w:val="0"/>
              <w:marBottom w:val="0"/>
              <w:divBdr>
                <w:top w:val="none" w:sz="0" w:space="0" w:color="auto"/>
                <w:left w:val="none" w:sz="0" w:space="0" w:color="auto"/>
                <w:bottom w:val="none" w:sz="0" w:space="0" w:color="auto"/>
                <w:right w:val="none" w:sz="0" w:space="0" w:color="auto"/>
              </w:divBdr>
              <w:divsChild>
                <w:div w:id="1693074482">
                  <w:marLeft w:val="0"/>
                  <w:marRight w:val="0"/>
                  <w:marTop w:val="0"/>
                  <w:marBottom w:val="0"/>
                  <w:divBdr>
                    <w:top w:val="none" w:sz="0" w:space="0" w:color="auto"/>
                    <w:left w:val="none" w:sz="0" w:space="0" w:color="auto"/>
                    <w:bottom w:val="none" w:sz="0" w:space="0" w:color="auto"/>
                    <w:right w:val="none" w:sz="0" w:space="0" w:color="auto"/>
                  </w:divBdr>
                  <w:divsChild>
                    <w:div w:id="295337789">
                      <w:marLeft w:val="0"/>
                      <w:marRight w:val="0"/>
                      <w:marTop w:val="0"/>
                      <w:marBottom w:val="0"/>
                      <w:divBdr>
                        <w:top w:val="none" w:sz="0" w:space="0" w:color="auto"/>
                        <w:left w:val="none" w:sz="0" w:space="0" w:color="auto"/>
                        <w:bottom w:val="none" w:sz="0" w:space="0" w:color="auto"/>
                        <w:right w:val="none" w:sz="0" w:space="0" w:color="auto"/>
                      </w:divBdr>
                      <w:divsChild>
                        <w:div w:id="107282993">
                          <w:marLeft w:val="0"/>
                          <w:marRight w:val="0"/>
                          <w:marTop w:val="0"/>
                          <w:marBottom w:val="0"/>
                          <w:divBdr>
                            <w:top w:val="none" w:sz="0" w:space="0" w:color="auto"/>
                            <w:left w:val="none" w:sz="0" w:space="0" w:color="auto"/>
                            <w:bottom w:val="none" w:sz="0" w:space="0" w:color="auto"/>
                            <w:right w:val="none" w:sz="0" w:space="0" w:color="auto"/>
                          </w:divBdr>
                          <w:divsChild>
                            <w:div w:id="172012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797427">
      <w:bodyDiv w:val="1"/>
      <w:marLeft w:val="0"/>
      <w:marRight w:val="0"/>
      <w:marTop w:val="0"/>
      <w:marBottom w:val="0"/>
      <w:divBdr>
        <w:top w:val="none" w:sz="0" w:space="0" w:color="auto"/>
        <w:left w:val="none" w:sz="0" w:space="0" w:color="auto"/>
        <w:bottom w:val="none" w:sz="0" w:space="0" w:color="auto"/>
        <w:right w:val="none" w:sz="0" w:space="0" w:color="auto"/>
      </w:divBdr>
      <w:divsChild>
        <w:div w:id="274992671">
          <w:marLeft w:val="0"/>
          <w:marRight w:val="0"/>
          <w:marTop w:val="0"/>
          <w:marBottom w:val="0"/>
          <w:divBdr>
            <w:top w:val="none" w:sz="0" w:space="0" w:color="auto"/>
            <w:left w:val="none" w:sz="0" w:space="0" w:color="auto"/>
            <w:bottom w:val="none" w:sz="0" w:space="0" w:color="auto"/>
            <w:right w:val="none" w:sz="0" w:space="0" w:color="auto"/>
          </w:divBdr>
          <w:divsChild>
            <w:div w:id="1885435426">
              <w:marLeft w:val="0"/>
              <w:marRight w:val="0"/>
              <w:marTop w:val="0"/>
              <w:marBottom w:val="0"/>
              <w:divBdr>
                <w:top w:val="none" w:sz="0" w:space="0" w:color="auto"/>
                <w:left w:val="none" w:sz="0" w:space="0" w:color="auto"/>
                <w:bottom w:val="none" w:sz="0" w:space="0" w:color="auto"/>
                <w:right w:val="none" w:sz="0" w:space="0" w:color="auto"/>
              </w:divBdr>
              <w:divsChild>
                <w:div w:id="288632501">
                  <w:marLeft w:val="0"/>
                  <w:marRight w:val="0"/>
                  <w:marTop w:val="0"/>
                  <w:marBottom w:val="0"/>
                  <w:divBdr>
                    <w:top w:val="none" w:sz="0" w:space="0" w:color="auto"/>
                    <w:left w:val="none" w:sz="0" w:space="0" w:color="auto"/>
                    <w:bottom w:val="none" w:sz="0" w:space="0" w:color="auto"/>
                    <w:right w:val="none" w:sz="0" w:space="0" w:color="auto"/>
                  </w:divBdr>
                  <w:divsChild>
                    <w:div w:id="154444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085">
      <w:bodyDiv w:val="1"/>
      <w:marLeft w:val="0"/>
      <w:marRight w:val="0"/>
      <w:marTop w:val="0"/>
      <w:marBottom w:val="0"/>
      <w:divBdr>
        <w:top w:val="none" w:sz="0" w:space="0" w:color="auto"/>
        <w:left w:val="none" w:sz="0" w:space="0" w:color="auto"/>
        <w:bottom w:val="none" w:sz="0" w:space="0" w:color="auto"/>
        <w:right w:val="none" w:sz="0" w:space="0" w:color="auto"/>
      </w:divBdr>
    </w:div>
    <w:div w:id="1087530896">
      <w:bodyDiv w:val="1"/>
      <w:marLeft w:val="0"/>
      <w:marRight w:val="0"/>
      <w:marTop w:val="0"/>
      <w:marBottom w:val="0"/>
      <w:divBdr>
        <w:top w:val="none" w:sz="0" w:space="0" w:color="auto"/>
        <w:left w:val="none" w:sz="0" w:space="0" w:color="auto"/>
        <w:bottom w:val="none" w:sz="0" w:space="0" w:color="auto"/>
        <w:right w:val="none" w:sz="0" w:space="0" w:color="auto"/>
      </w:divBdr>
    </w:div>
    <w:div w:id="1106971799">
      <w:bodyDiv w:val="1"/>
      <w:marLeft w:val="0"/>
      <w:marRight w:val="0"/>
      <w:marTop w:val="0"/>
      <w:marBottom w:val="0"/>
      <w:divBdr>
        <w:top w:val="none" w:sz="0" w:space="0" w:color="auto"/>
        <w:left w:val="none" w:sz="0" w:space="0" w:color="auto"/>
        <w:bottom w:val="none" w:sz="0" w:space="0" w:color="auto"/>
        <w:right w:val="none" w:sz="0" w:space="0" w:color="auto"/>
      </w:divBdr>
      <w:divsChild>
        <w:div w:id="2109228812">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1166870589">
      <w:bodyDiv w:val="1"/>
      <w:marLeft w:val="0"/>
      <w:marRight w:val="0"/>
      <w:marTop w:val="0"/>
      <w:marBottom w:val="0"/>
      <w:divBdr>
        <w:top w:val="none" w:sz="0" w:space="0" w:color="auto"/>
        <w:left w:val="none" w:sz="0" w:space="0" w:color="auto"/>
        <w:bottom w:val="none" w:sz="0" w:space="0" w:color="auto"/>
        <w:right w:val="none" w:sz="0" w:space="0" w:color="auto"/>
      </w:divBdr>
    </w:div>
    <w:div w:id="1211727281">
      <w:bodyDiv w:val="1"/>
      <w:marLeft w:val="0"/>
      <w:marRight w:val="0"/>
      <w:marTop w:val="0"/>
      <w:marBottom w:val="0"/>
      <w:divBdr>
        <w:top w:val="none" w:sz="0" w:space="0" w:color="auto"/>
        <w:left w:val="none" w:sz="0" w:space="0" w:color="auto"/>
        <w:bottom w:val="none" w:sz="0" w:space="0" w:color="auto"/>
        <w:right w:val="none" w:sz="0" w:space="0" w:color="auto"/>
      </w:divBdr>
      <w:divsChild>
        <w:div w:id="285551974">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1235555693">
      <w:bodyDiv w:val="1"/>
      <w:marLeft w:val="0"/>
      <w:marRight w:val="0"/>
      <w:marTop w:val="0"/>
      <w:marBottom w:val="0"/>
      <w:divBdr>
        <w:top w:val="none" w:sz="0" w:space="0" w:color="auto"/>
        <w:left w:val="none" w:sz="0" w:space="0" w:color="auto"/>
        <w:bottom w:val="none" w:sz="0" w:space="0" w:color="auto"/>
        <w:right w:val="none" w:sz="0" w:space="0" w:color="auto"/>
      </w:divBdr>
    </w:div>
    <w:div w:id="1263300371">
      <w:bodyDiv w:val="1"/>
      <w:marLeft w:val="0"/>
      <w:marRight w:val="0"/>
      <w:marTop w:val="0"/>
      <w:marBottom w:val="0"/>
      <w:divBdr>
        <w:top w:val="none" w:sz="0" w:space="0" w:color="auto"/>
        <w:left w:val="none" w:sz="0" w:space="0" w:color="auto"/>
        <w:bottom w:val="none" w:sz="0" w:space="0" w:color="auto"/>
        <w:right w:val="none" w:sz="0" w:space="0" w:color="auto"/>
      </w:divBdr>
    </w:div>
    <w:div w:id="1278173027">
      <w:bodyDiv w:val="1"/>
      <w:marLeft w:val="0"/>
      <w:marRight w:val="0"/>
      <w:marTop w:val="0"/>
      <w:marBottom w:val="0"/>
      <w:divBdr>
        <w:top w:val="none" w:sz="0" w:space="0" w:color="auto"/>
        <w:left w:val="none" w:sz="0" w:space="0" w:color="auto"/>
        <w:bottom w:val="none" w:sz="0" w:space="0" w:color="auto"/>
        <w:right w:val="none" w:sz="0" w:space="0" w:color="auto"/>
      </w:divBdr>
    </w:div>
    <w:div w:id="1324891789">
      <w:bodyDiv w:val="1"/>
      <w:marLeft w:val="0"/>
      <w:marRight w:val="0"/>
      <w:marTop w:val="0"/>
      <w:marBottom w:val="0"/>
      <w:divBdr>
        <w:top w:val="none" w:sz="0" w:space="0" w:color="auto"/>
        <w:left w:val="none" w:sz="0" w:space="0" w:color="auto"/>
        <w:bottom w:val="none" w:sz="0" w:space="0" w:color="auto"/>
        <w:right w:val="none" w:sz="0" w:space="0" w:color="auto"/>
      </w:divBdr>
    </w:div>
    <w:div w:id="1328903107">
      <w:bodyDiv w:val="1"/>
      <w:marLeft w:val="0"/>
      <w:marRight w:val="0"/>
      <w:marTop w:val="0"/>
      <w:marBottom w:val="0"/>
      <w:divBdr>
        <w:top w:val="none" w:sz="0" w:space="0" w:color="auto"/>
        <w:left w:val="none" w:sz="0" w:space="0" w:color="auto"/>
        <w:bottom w:val="none" w:sz="0" w:space="0" w:color="auto"/>
        <w:right w:val="none" w:sz="0" w:space="0" w:color="auto"/>
      </w:divBdr>
    </w:div>
    <w:div w:id="1342394139">
      <w:bodyDiv w:val="1"/>
      <w:marLeft w:val="0"/>
      <w:marRight w:val="0"/>
      <w:marTop w:val="0"/>
      <w:marBottom w:val="0"/>
      <w:divBdr>
        <w:top w:val="none" w:sz="0" w:space="0" w:color="auto"/>
        <w:left w:val="none" w:sz="0" w:space="0" w:color="auto"/>
        <w:bottom w:val="none" w:sz="0" w:space="0" w:color="auto"/>
        <w:right w:val="none" w:sz="0" w:space="0" w:color="auto"/>
      </w:divBdr>
    </w:div>
    <w:div w:id="1351099957">
      <w:bodyDiv w:val="1"/>
      <w:marLeft w:val="0"/>
      <w:marRight w:val="0"/>
      <w:marTop w:val="0"/>
      <w:marBottom w:val="0"/>
      <w:divBdr>
        <w:top w:val="none" w:sz="0" w:space="0" w:color="auto"/>
        <w:left w:val="none" w:sz="0" w:space="0" w:color="auto"/>
        <w:bottom w:val="none" w:sz="0" w:space="0" w:color="auto"/>
        <w:right w:val="none" w:sz="0" w:space="0" w:color="auto"/>
      </w:divBdr>
    </w:div>
    <w:div w:id="1361053195">
      <w:bodyDiv w:val="1"/>
      <w:marLeft w:val="0"/>
      <w:marRight w:val="0"/>
      <w:marTop w:val="0"/>
      <w:marBottom w:val="0"/>
      <w:divBdr>
        <w:top w:val="none" w:sz="0" w:space="0" w:color="auto"/>
        <w:left w:val="none" w:sz="0" w:space="0" w:color="auto"/>
        <w:bottom w:val="none" w:sz="0" w:space="0" w:color="auto"/>
        <w:right w:val="none" w:sz="0" w:space="0" w:color="auto"/>
      </w:divBdr>
    </w:div>
    <w:div w:id="1369791230">
      <w:bodyDiv w:val="1"/>
      <w:marLeft w:val="0"/>
      <w:marRight w:val="0"/>
      <w:marTop w:val="0"/>
      <w:marBottom w:val="0"/>
      <w:divBdr>
        <w:top w:val="none" w:sz="0" w:space="0" w:color="auto"/>
        <w:left w:val="none" w:sz="0" w:space="0" w:color="auto"/>
        <w:bottom w:val="none" w:sz="0" w:space="0" w:color="auto"/>
        <w:right w:val="none" w:sz="0" w:space="0" w:color="auto"/>
      </w:divBdr>
    </w:div>
    <w:div w:id="1370256158">
      <w:bodyDiv w:val="1"/>
      <w:marLeft w:val="0"/>
      <w:marRight w:val="0"/>
      <w:marTop w:val="0"/>
      <w:marBottom w:val="0"/>
      <w:divBdr>
        <w:top w:val="none" w:sz="0" w:space="0" w:color="auto"/>
        <w:left w:val="none" w:sz="0" w:space="0" w:color="auto"/>
        <w:bottom w:val="none" w:sz="0" w:space="0" w:color="auto"/>
        <w:right w:val="none" w:sz="0" w:space="0" w:color="auto"/>
      </w:divBdr>
      <w:divsChild>
        <w:div w:id="476609310">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 w:id="1375692291">
      <w:bodyDiv w:val="1"/>
      <w:marLeft w:val="0"/>
      <w:marRight w:val="0"/>
      <w:marTop w:val="0"/>
      <w:marBottom w:val="0"/>
      <w:divBdr>
        <w:top w:val="none" w:sz="0" w:space="0" w:color="auto"/>
        <w:left w:val="none" w:sz="0" w:space="0" w:color="auto"/>
        <w:bottom w:val="none" w:sz="0" w:space="0" w:color="auto"/>
        <w:right w:val="none" w:sz="0" w:space="0" w:color="auto"/>
      </w:divBdr>
    </w:div>
    <w:div w:id="1397314272">
      <w:bodyDiv w:val="1"/>
      <w:marLeft w:val="0"/>
      <w:marRight w:val="0"/>
      <w:marTop w:val="0"/>
      <w:marBottom w:val="0"/>
      <w:divBdr>
        <w:top w:val="none" w:sz="0" w:space="0" w:color="auto"/>
        <w:left w:val="none" w:sz="0" w:space="0" w:color="auto"/>
        <w:bottom w:val="none" w:sz="0" w:space="0" w:color="auto"/>
        <w:right w:val="none" w:sz="0" w:space="0" w:color="auto"/>
      </w:divBdr>
    </w:div>
    <w:div w:id="1399859670">
      <w:bodyDiv w:val="1"/>
      <w:marLeft w:val="0"/>
      <w:marRight w:val="0"/>
      <w:marTop w:val="0"/>
      <w:marBottom w:val="0"/>
      <w:divBdr>
        <w:top w:val="none" w:sz="0" w:space="0" w:color="auto"/>
        <w:left w:val="none" w:sz="0" w:space="0" w:color="auto"/>
        <w:bottom w:val="none" w:sz="0" w:space="0" w:color="auto"/>
        <w:right w:val="none" w:sz="0" w:space="0" w:color="auto"/>
      </w:divBdr>
    </w:div>
    <w:div w:id="1418214697">
      <w:bodyDiv w:val="1"/>
      <w:marLeft w:val="0"/>
      <w:marRight w:val="0"/>
      <w:marTop w:val="0"/>
      <w:marBottom w:val="0"/>
      <w:divBdr>
        <w:top w:val="none" w:sz="0" w:space="0" w:color="auto"/>
        <w:left w:val="none" w:sz="0" w:space="0" w:color="auto"/>
        <w:bottom w:val="none" w:sz="0" w:space="0" w:color="auto"/>
        <w:right w:val="none" w:sz="0" w:space="0" w:color="auto"/>
      </w:divBdr>
    </w:div>
    <w:div w:id="1465151836">
      <w:bodyDiv w:val="1"/>
      <w:marLeft w:val="0"/>
      <w:marRight w:val="0"/>
      <w:marTop w:val="0"/>
      <w:marBottom w:val="0"/>
      <w:divBdr>
        <w:top w:val="none" w:sz="0" w:space="0" w:color="auto"/>
        <w:left w:val="none" w:sz="0" w:space="0" w:color="auto"/>
        <w:bottom w:val="none" w:sz="0" w:space="0" w:color="auto"/>
        <w:right w:val="none" w:sz="0" w:space="0" w:color="auto"/>
      </w:divBdr>
    </w:div>
    <w:div w:id="1466776562">
      <w:bodyDiv w:val="1"/>
      <w:marLeft w:val="0"/>
      <w:marRight w:val="0"/>
      <w:marTop w:val="0"/>
      <w:marBottom w:val="0"/>
      <w:divBdr>
        <w:top w:val="none" w:sz="0" w:space="0" w:color="auto"/>
        <w:left w:val="none" w:sz="0" w:space="0" w:color="auto"/>
        <w:bottom w:val="none" w:sz="0" w:space="0" w:color="auto"/>
        <w:right w:val="none" w:sz="0" w:space="0" w:color="auto"/>
      </w:divBdr>
    </w:div>
    <w:div w:id="1486627825">
      <w:bodyDiv w:val="1"/>
      <w:marLeft w:val="0"/>
      <w:marRight w:val="0"/>
      <w:marTop w:val="0"/>
      <w:marBottom w:val="0"/>
      <w:divBdr>
        <w:top w:val="none" w:sz="0" w:space="0" w:color="auto"/>
        <w:left w:val="none" w:sz="0" w:space="0" w:color="auto"/>
        <w:bottom w:val="none" w:sz="0" w:space="0" w:color="auto"/>
        <w:right w:val="none" w:sz="0" w:space="0" w:color="auto"/>
      </w:divBdr>
    </w:div>
    <w:div w:id="1487622268">
      <w:bodyDiv w:val="1"/>
      <w:marLeft w:val="0"/>
      <w:marRight w:val="0"/>
      <w:marTop w:val="0"/>
      <w:marBottom w:val="0"/>
      <w:divBdr>
        <w:top w:val="none" w:sz="0" w:space="0" w:color="auto"/>
        <w:left w:val="none" w:sz="0" w:space="0" w:color="auto"/>
        <w:bottom w:val="none" w:sz="0" w:space="0" w:color="auto"/>
        <w:right w:val="none" w:sz="0" w:space="0" w:color="auto"/>
      </w:divBdr>
    </w:div>
    <w:div w:id="1495609104">
      <w:bodyDiv w:val="1"/>
      <w:marLeft w:val="0"/>
      <w:marRight w:val="0"/>
      <w:marTop w:val="0"/>
      <w:marBottom w:val="0"/>
      <w:divBdr>
        <w:top w:val="none" w:sz="0" w:space="0" w:color="auto"/>
        <w:left w:val="none" w:sz="0" w:space="0" w:color="auto"/>
        <w:bottom w:val="none" w:sz="0" w:space="0" w:color="auto"/>
        <w:right w:val="none" w:sz="0" w:space="0" w:color="auto"/>
      </w:divBdr>
    </w:div>
    <w:div w:id="1509248450">
      <w:bodyDiv w:val="1"/>
      <w:marLeft w:val="0"/>
      <w:marRight w:val="0"/>
      <w:marTop w:val="0"/>
      <w:marBottom w:val="0"/>
      <w:divBdr>
        <w:top w:val="none" w:sz="0" w:space="0" w:color="auto"/>
        <w:left w:val="none" w:sz="0" w:space="0" w:color="auto"/>
        <w:bottom w:val="none" w:sz="0" w:space="0" w:color="auto"/>
        <w:right w:val="none" w:sz="0" w:space="0" w:color="auto"/>
      </w:divBdr>
    </w:div>
    <w:div w:id="1530677632">
      <w:bodyDiv w:val="1"/>
      <w:marLeft w:val="0"/>
      <w:marRight w:val="0"/>
      <w:marTop w:val="0"/>
      <w:marBottom w:val="0"/>
      <w:divBdr>
        <w:top w:val="none" w:sz="0" w:space="0" w:color="auto"/>
        <w:left w:val="none" w:sz="0" w:space="0" w:color="auto"/>
        <w:bottom w:val="none" w:sz="0" w:space="0" w:color="auto"/>
        <w:right w:val="none" w:sz="0" w:space="0" w:color="auto"/>
      </w:divBdr>
    </w:div>
    <w:div w:id="1565484545">
      <w:bodyDiv w:val="1"/>
      <w:marLeft w:val="0"/>
      <w:marRight w:val="0"/>
      <w:marTop w:val="0"/>
      <w:marBottom w:val="0"/>
      <w:divBdr>
        <w:top w:val="none" w:sz="0" w:space="0" w:color="auto"/>
        <w:left w:val="none" w:sz="0" w:space="0" w:color="auto"/>
        <w:bottom w:val="none" w:sz="0" w:space="0" w:color="auto"/>
        <w:right w:val="none" w:sz="0" w:space="0" w:color="auto"/>
      </w:divBdr>
    </w:div>
    <w:div w:id="1565919565">
      <w:bodyDiv w:val="1"/>
      <w:marLeft w:val="0"/>
      <w:marRight w:val="0"/>
      <w:marTop w:val="0"/>
      <w:marBottom w:val="0"/>
      <w:divBdr>
        <w:top w:val="none" w:sz="0" w:space="0" w:color="auto"/>
        <w:left w:val="none" w:sz="0" w:space="0" w:color="auto"/>
        <w:bottom w:val="none" w:sz="0" w:space="0" w:color="auto"/>
        <w:right w:val="none" w:sz="0" w:space="0" w:color="auto"/>
      </w:divBdr>
    </w:div>
    <w:div w:id="1573655701">
      <w:bodyDiv w:val="1"/>
      <w:marLeft w:val="0"/>
      <w:marRight w:val="0"/>
      <w:marTop w:val="0"/>
      <w:marBottom w:val="0"/>
      <w:divBdr>
        <w:top w:val="none" w:sz="0" w:space="0" w:color="auto"/>
        <w:left w:val="none" w:sz="0" w:space="0" w:color="auto"/>
        <w:bottom w:val="none" w:sz="0" w:space="0" w:color="auto"/>
        <w:right w:val="none" w:sz="0" w:space="0" w:color="auto"/>
      </w:divBdr>
    </w:div>
    <w:div w:id="1638871856">
      <w:bodyDiv w:val="1"/>
      <w:marLeft w:val="0"/>
      <w:marRight w:val="0"/>
      <w:marTop w:val="0"/>
      <w:marBottom w:val="0"/>
      <w:divBdr>
        <w:top w:val="none" w:sz="0" w:space="0" w:color="auto"/>
        <w:left w:val="none" w:sz="0" w:space="0" w:color="auto"/>
        <w:bottom w:val="none" w:sz="0" w:space="0" w:color="auto"/>
        <w:right w:val="none" w:sz="0" w:space="0" w:color="auto"/>
      </w:divBdr>
    </w:div>
    <w:div w:id="1683505842">
      <w:bodyDiv w:val="1"/>
      <w:marLeft w:val="0"/>
      <w:marRight w:val="0"/>
      <w:marTop w:val="0"/>
      <w:marBottom w:val="0"/>
      <w:divBdr>
        <w:top w:val="none" w:sz="0" w:space="0" w:color="auto"/>
        <w:left w:val="none" w:sz="0" w:space="0" w:color="auto"/>
        <w:bottom w:val="none" w:sz="0" w:space="0" w:color="auto"/>
        <w:right w:val="none" w:sz="0" w:space="0" w:color="auto"/>
      </w:divBdr>
    </w:div>
    <w:div w:id="1690526490">
      <w:bodyDiv w:val="1"/>
      <w:marLeft w:val="0"/>
      <w:marRight w:val="0"/>
      <w:marTop w:val="0"/>
      <w:marBottom w:val="0"/>
      <w:divBdr>
        <w:top w:val="none" w:sz="0" w:space="0" w:color="auto"/>
        <w:left w:val="none" w:sz="0" w:space="0" w:color="auto"/>
        <w:bottom w:val="none" w:sz="0" w:space="0" w:color="auto"/>
        <w:right w:val="none" w:sz="0" w:space="0" w:color="auto"/>
      </w:divBdr>
    </w:div>
    <w:div w:id="1693606187">
      <w:bodyDiv w:val="1"/>
      <w:marLeft w:val="0"/>
      <w:marRight w:val="0"/>
      <w:marTop w:val="0"/>
      <w:marBottom w:val="0"/>
      <w:divBdr>
        <w:top w:val="none" w:sz="0" w:space="0" w:color="auto"/>
        <w:left w:val="none" w:sz="0" w:space="0" w:color="auto"/>
        <w:bottom w:val="none" w:sz="0" w:space="0" w:color="auto"/>
        <w:right w:val="none" w:sz="0" w:space="0" w:color="auto"/>
      </w:divBdr>
    </w:div>
    <w:div w:id="1728530353">
      <w:bodyDiv w:val="1"/>
      <w:marLeft w:val="0"/>
      <w:marRight w:val="0"/>
      <w:marTop w:val="0"/>
      <w:marBottom w:val="0"/>
      <w:divBdr>
        <w:top w:val="none" w:sz="0" w:space="0" w:color="auto"/>
        <w:left w:val="none" w:sz="0" w:space="0" w:color="auto"/>
        <w:bottom w:val="none" w:sz="0" w:space="0" w:color="auto"/>
        <w:right w:val="none" w:sz="0" w:space="0" w:color="auto"/>
      </w:divBdr>
    </w:div>
    <w:div w:id="1764839771">
      <w:bodyDiv w:val="1"/>
      <w:marLeft w:val="0"/>
      <w:marRight w:val="0"/>
      <w:marTop w:val="0"/>
      <w:marBottom w:val="0"/>
      <w:divBdr>
        <w:top w:val="none" w:sz="0" w:space="0" w:color="auto"/>
        <w:left w:val="none" w:sz="0" w:space="0" w:color="auto"/>
        <w:bottom w:val="none" w:sz="0" w:space="0" w:color="auto"/>
        <w:right w:val="none" w:sz="0" w:space="0" w:color="auto"/>
      </w:divBdr>
      <w:divsChild>
        <w:div w:id="850680828">
          <w:marLeft w:val="0"/>
          <w:marRight w:val="0"/>
          <w:marTop w:val="0"/>
          <w:marBottom w:val="0"/>
          <w:divBdr>
            <w:top w:val="none" w:sz="0" w:space="0" w:color="auto"/>
            <w:left w:val="none" w:sz="0" w:space="0" w:color="auto"/>
            <w:bottom w:val="none" w:sz="0" w:space="0" w:color="auto"/>
            <w:right w:val="none" w:sz="0" w:space="0" w:color="auto"/>
          </w:divBdr>
          <w:divsChild>
            <w:div w:id="48038920">
              <w:marLeft w:val="0"/>
              <w:marRight w:val="0"/>
              <w:marTop w:val="0"/>
              <w:marBottom w:val="0"/>
              <w:divBdr>
                <w:top w:val="none" w:sz="0" w:space="0" w:color="auto"/>
                <w:left w:val="none" w:sz="0" w:space="0" w:color="auto"/>
                <w:bottom w:val="none" w:sz="0" w:space="0" w:color="auto"/>
                <w:right w:val="none" w:sz="0" w:space="0" w:color="auto"/>
              </w:divBdr>
              <w:divsChild>
                <w:div w:id="511988411">
                  <w:marLeft w:val="0"/>
                  <w:marRight w:val="0"/>
                  <w:marTop w:val="0"/>
                  <w:marBottom w:val="0"/>
                  <w:divBdr>
                    <w:top w:val="none" w:sz="0" w:space="0" w:color="auto"/>
                    <w:left w:val="none" w:sz="0" w:space="0" w:color="auto"/>
                    <w:bottom w:val="none" w:sz="0" w:space="0" w:color="auto"/>
                    <w:right w:val="none" w:sz="0" w:space="0" w:color="auto"/>
                  </w:divBdr>
                  <w:divsChild>
                    <w:div w:id="129205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430991">
      <w:bodyDiv w:val="1"/>
      <w:marLeft w:val="0"/>
      <w:marRight w:val="0"/>
      <w:marTop w:val="0"/>
      <w:marBottom w:val="0"/>
      <w:divBdr>
        <w:top w:val="none" w:sz="0" w:space="0" w:color="auto"/>
        <w:left w:val="none" w:sz="0" w:space="0" w:color="auto"/>
        <w:bottom w:val="none" w:sz="0" w:space="0" w:color="auto"/>
        <w:right w:val="none" w:sz="0" w:space="0" w:color="auto"/>
      </w:divBdr>
      <w:divsChild>
        <w:div w:id="1980767287">
          <w:marLeft w:val="0"/>
          <w:marRight w:val="0"/>
          <w:marTop w:val="0"/>
          <w:marBottom w:val="0"/>
          <w:divBdr>
            <w:top w:val="none" w:sz="0" w:space="0" w:color="auto"/>
            <w:left w:val="none" w:sz="0" w:space="0" w:color="auto"/>
            <w:bottom w:val="none" w:sz="0" w:space="0" w:color="auto"/>
            <w:right w:val="none" w:sz="0" w:space="0" w:color="auto"/>
          </w:divBdr>
          <w:divsChild>
            <w:div w:id="1897159029">
              <w:marLeft w:val="0"/>
              <w:marRight w:val="0"/>
              <w:marTop w:val="0"/>
              <w:marBottom w:val="0"/>
              <w:divBdr>
                <w:top w:val="none" w:sz="0" w:space="0" w:color="auto"/>
                <w:left w:val="none" w:sz="0" w:space="0" w:color="auto"/>
                <w:bottom w:val="none" w:sz="0" w:space="0" w:color="auto"/>
                <w:right w:val="none" w:sz="0" w:space="0" w:color="auto"/>
              </w:divBdr>
              <w:divsChild>
                <w:div w:id="1434208681">
                  <w:marLeft w:val="0"/>
                  <w:marRight w:val="0"/>
                  <w:marTop w:val="0"/>
                  <w:marBottom w:val="0"/>
                  <w:divBdr>
                    <w:top w:val="none" w:sz="0" w:space="0" w:color="auto"/>
                    <w:left w:val="none" w:sz="0" w:space="0" w:color="auto"/>
                    <w:bottom w:val="none" w:sz="0" w:space="0" w:color="auto"/>
                    <w:right w:val="none" w:sz="0" w:space="0" w:color="auto"/>
                  </w:divBdr>
                  <w:divsChild>
                    <w:div w:id="40692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117410">
      <w:bodyDiv w:val="1"/>
      <w:marLeft w:val="0"/>
      <w:marRight w:val="0"/>
      <w:marTop w:val="0"/>
      <w:marBottom w:val="0"/>
      <w:divBdr>
        <w:top w:val="none" w:sz="0" w:space="0" w:color="auto"/>
        <w:left w:val="none" w:sz="0" w:space="0" w:color="auto"/>
        <w:bottom w:val="none" w:sz="0" w:space="0" w:color="auto"/>
        <w:right w:val="none" w:sz="0" w:space="0" w:color="auto"/>
      </w:divBdr>
    </w:div>
    <w:div w:id="1844929695">
      <w:bodyDiv w:val="1"/>
      <w:marLeft w:val="0"/>
      <w:marRight w:val="0"/>
      <w:marTop w:val="0"/>
      <w:marBottom w:val="0"/>
      <w:divBdr>
        <w:top w:val="none" w:sz="0" w:space="0" w:color="auto"/>
        <w:left w:val="none" w:sz="0" w:space="0" w:color="auto"/>
        <w:bottom w:val="none" w:sz="0" w:space="0" w:color="auto"/>
        <w:right w:val="none" w:sz="0" w:space="0" w:color="auto"/>
      </w:divBdr>
    </w:div>
    <w:div w:id="1870489361">
      <w:bodyDiv w:val="1"/>
      <w:marLeft w:val="0"/>
      <w:marRight w:val="0"/>
      <w:marTop w:val="0"/>
      <w:marBottom w:val="0"/>
      <w:divBdr>
        <w:top w:val="none" w:sz="0" w:space="0" w:color="auto"/>
        <w:left w:val="none" w:sz="0" w:space="0" w:color="auto"/>
        <w:bottom w:val="none" w:sz="0" w:space="0" w:color="auto"/>
        <w:right w:val="none" w:sz="0" w:space="0" w:color="auto"/>
      </w:divBdr>
    </w:div>
    <w:div w:id="1891767373">
      <w:bodyDiv w:val="1"/>
      <w:marLeft w:val="0"/>
      <w:marRight w:val="0"/>
      <w:marTop w:val="0"/>
      <w:marBottom w:val="0"/>
      <w:divBdr>
        <w:top w:val="none" w:sz="0" w:space="0" w:color="auto"/>
        <w:left w:val="none" w:sz="0" w:space="0" w:color="auto"/>
        <w:bottom w:val="none" w:sz="0" w:space="0" w:color="auto"/>
        <w:right w:val="none" w:sz="0" w:space="0" w:color="auto"/>
      </w:divBdr>
    </w:div>
    <w:div w:id="1906719175">
      <w:bodyDiv w:val="1"/>
      <w:marLeft w:val="0"/>
      <w:marRight w:val="0"/>
      <w:marTop w:val="0"/>
      <w:marBottom w:val="0"/>
      <w:divBdr>
        <w:top w:val="none" w:sz="0" w:space="0" w:color="auto"/>
        <w:left w:val="none" w:sz="0" w:space="0" w:color="auto"/>
        <w:bottom w:val="none" w:sz="0" w:space="0" w:color="auto"/>
        <w:right w:val="none" w:sz="0" w:space="0" w:color="auto"/>
      </w:divBdr>
    </w:div>
    <w:div w:id="1936589723">
      <w:bodyDiv w:val="1"/>
      <w:marLeft w:val="0"/>
      <w:marRight w:val="0"/>
      <w:marTop w:val="0"/>
      <w:marBottom w:val="0"/>
      <w:divBdr>
        <w:top w:val="none" w:sz="0" w:space="0" w:color="auto"/>
        <w:left w:val="none" w:sz="0" w:space="0" w:color="auto"/>
        <w:bottom w:val="none" w:sz="0" w:space="0" w:color="auto"/>
        <w:right w:val="none" w:sz="0" w:space="0" w:color="auto"/>
      </w:divBdr>
    </w:div>
    <w:div w:id="1939291391">
      <w:bodyDiv w:val="1"/>
      <w:marLeft w:val="0"/>
      <w:marRight w:val="0"/>
      <w:marTop w:val="0"/>
      <w:marBottom w:val="0"/>
      <w:divBdr>
        <w:top w:val="none" w:sz="0" w:space="0" w:color="auto"/>
        <w:left w:val="none" w:sz="0" w:space="0" w:color="auto"/>
        <w:bottom w:val="none" w:sz="0" w:space="0" w:color="auto"/>
        <w:right w:val="none" w:sz="0" w:space="0" w:color="auto"/>
      </w:divBdr>
    </w:div>
    <w:div w:id="1966882948">
      <w:bodyDiv w:val="1"/>
      <w:marLeft w:val="0"/>
      <w:marRight w:val="0"/>
      <w:marTop w:val="0"/>
      <w:marBottom w:val="0"/>
      <w:divBdr>
        <w:top w:val="none" w:sz="0" w:space="0" w:color="auto"/>
        <w:left w:val="none" w:sz="0" w:space="0" w:color="auto"/>
        <w:bottom w:val="none" w:sz="0" w:space="0" w:color="auto"/>
        <w:right w:val="none" w:sz="0" w:space="0" w:color="auto"/>
      </w:divBdr>
    </w:div>
    <w:div w:id="1980450832">
      <w:bodyDiv w:val="1"/>
      <w:marLeft w:val="0"/>
      <w:marRight w:val="0"/>
      <w:marTop w:val="0"/>
      <w:marBottom w:val="0"/>
      <w:divBdr>
        <w:top w:val="none" w:sz="0" w:space="0" w:color="auto"/>
        <w:left w:val="none" w:sz="0" w:space="0" w:color="auto"/>
        <w:bottom w:val="none" w:sz="0" w:space="0" w:color="auto"/>
        <w:right w:val="none" w:sz="0" w:space="0" w:color="auto"/>
      </w:divBdr>
    </w:div>
    <w:div w:id="1984002660">
      <w:bodyDiv w:val="1"/>
      <w:marLeft w:val="0"/>
      <w:marRight w:val="0"/>
      <w:marTop w:val="0"/>
      <w:marBottom w:val="0"/>
      <w:divBdr>
        <w:top w:val="none" w:sz="0" w:space="0" w:color="auto"/>
        <w:left w:val="none" w:sz="0" w:space="0" w:color="auto"/>
        <w:bottom w:val="none" w:sz="0" w:space="0" w:color="auto"/>
        <w:right w:val="none" w:sz="0" w:space="0" w:color="auto"/>
      </w:divBdr>
    </w:div>
    <w:div w:id="1994404693">
      <w:bodyDiv w:val="1"/>
      <w:marLeft w:val="0"/>
      <w:marRight w:val="0"/>
      <w:marTop w:val="0"/>
      <w:marBottom w:val="0"/>
      <w:divBdr>
        <w:top w:val="none" w:sz="0" w:space="0" w:color="auto"/>
        <w:left w:val="none" w:sz="0" w:space="0" w:color="auto"/>
        <w:bottom w:val="none" w:sz="0" w:space="0" w:color="auto"/>
        <w:right w:val="none" w:sz="0" w:space="0" w:color="auto"/>
      </w:divBdr>
    </w:div>
    <w:div w:id="2019386938">
      <w:bodyDiv w:val="1"/>
      <w:marLeft w:val="0"/>
      <w:marRight w:val="0"/>
      <w:marTop w:val="0"/>
      <w:marBottom w:val="0"/>
      <w:divBdr>
        <w:top w:val="none" w:sz="0" w:space="0" w:color="auto"/>
        <w:left w:val="none" w:sz="0" w:space="0" w:color="auto"/>
        <w:bottom w:val="none" w:sz="0" w:space="0" w:color="auto"/>
        <w:right w:val="none" w:sz="0" w:space="0" w:color="auto"/>
      </w:divBdr>
      <w:divsChild>
        <w:div w:id="182209651">
          <w:marLeft w:val="0"/>
          <w:marRight w:val="0"/>
          <w:marTop w:val="0"/>
          <w:marBottom w:val="0"/>
          <w:divBdr>
            <w:top w:val="none" w:sz="0" w:space="0" w:color="auto"/>
            <w:left w:val="none" w:sz="0" w:space="0" w:color="auto"/>
            <w:bottom w:val="none" w:sz="0" w:space="0" w:color="auto"/>
            <w:right w:val="none" w:sz="0" w:space="0" w:color="auto"/>
          </w:divBdr>
          <w:divsChild>
            <w:div w:id="1848902933">
              <w:marLeft w:val="0"/>
              <w:marRight w:val="0"/>
              <w:marTop w:val="0"/>
              <w:marBottom w:val="0"/>
              <w:divBdr>
                <w:top w:val="none" w:sz="0" w:space="0" w:color="auto"/>
                <w:left w:val="none" w:sz="0" w:space="0" w:color="auto"/>
                <w:bottom w:val="none" w:sz="0" w:space="0" w:color="auto"/>
                <w:right w:val="none" w:sz="0" w:space="0" w:color="auto"/>
              </w:divBdr>
              <w:divsChild>
                <w:div w:id="1291865563">
                  <w:marLeft w:val="0"/>
                  <w:marRight w:val="0"/>
                  <w:marTop w:val="0"/>
                  <w:marBottom w:val="0"/>
                  <w:divBdr>
                    <w:top w:val="none" w:sz="0" w:space="0" w:color="auto"/>
                    <w:left w:val="none" w:sz="0" w:space="0" w:color="auto"/>
                    <w:bottom w:val="none" w:sz="0" w:space="0" w:color="auto"/>
                    <w:right w:val="none" w:sz="0" w:space="0" w:color="auto"/>
                  </w:divBdr>
                  <w:divsChild>
                    <w:div w:id="33884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320025">
      <w:bodyDiv w:val="1"/>
      <w:marLeft w:val="0"/>
      <w:marRight w:val="0"/>
      <w:marTop w:val="0"/>
      <w:marBottom w:val="0"/>
      <w:divBdr>
        <w:top w:val="none" w:sz="0" w:space="0" w:color="auto"/>
        <w:left w:val="none" w:sz="0" w:space="0" w:color="auto"/>
        <w:bottom w:val="none" w:sz="0" w:space="0" w:color="auto"/>
        <w:right w:val="none" w:sz="0" w:space="0" w:color="auto"/>
      </w:divBdr>
    </w:div>
    <w:div w:id="2027361238">
      <w:bodyDiv w:val="1"/>
      <w:marLeft w:val="0"/>
      <w:marRight w:val="0"/>
      <w:marTop w:val="0"/>
      <w:marBottom w:val="0"/>
      <w:divBdr>
        <w:top w:val="none" w:sz="0" w:space="0" w:color="auto"/>
        <w:left w:val="none" w:sz="0" w:space="0" w:color="auto"/>
        <w:bottom w:val="none" w:sz="0" w:space="0" w:color="auto"/>
        <w:right w:val="none" w:sz="0" w:space="0" w:color="auto"/>
      </w:divBdr>
    </w:div>
    <w:div w:id="2070033149">
      <w:bodyDiv w:val="1"/>
      <w:marLeft w:val="0"/>
      <w:marRight w:val="0"/>
      <w:marTop w:val="0"/>
      <w:marBottom w:val="0"/>
      <w:divBdr>
        <w:top w:val="none" w:sz="0" w:space="0" w:color="auto"/>
        <w:left w:val="none" w:sz="0" w:space="0" w:color="auto"/>
        <w:bottom w:val="none" w:sz="0" w:space="0" w:color="auto"/>
        <w:right w:val="none" w:sz="0" w:space="0" w:color="auto"/>
      </w:divBdr>
    </w:div>
    <w:div w:id="2070374057">
      <w:bodyDiv w:val="1"/>
      <w:marLeft w:val="0"/>
      <w:marRight w:val="0"/>
      <w:marTop w:val="0"/>
      <w:marBottom w:val="0"/>
      <w:divBdr>
        <w:top w:val="none" w:sz="0" w:space="0" w:color="auto"/>
        <w:left w:val="none" w:sz="0" w:space="0" w:color="auto"/>
        <w:bottom w:val="none" w:sz="0" w:space="0" w:color="auto"/>
        <w:right w:val="none" w:sz="0" w:space="0" w:color="auto"/>
      </w:divBdr>
    </w:div>
    <w:div w:id="2117867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vestexportbrasil.gov.br/imposto-de-importacao-ii" TargetMode="External"/><Relationship Id="rId13" Type="http://schemas.openxmlformats.org/officeDocument/2006/relationships/hyperlink" Target="http://investexportbrasil.gov.br/icm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nvestexportbrasil.gov.br/cide-combustivei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vestexportbrasil.gov.br/afrmm" TargetMode="External"/><Relationship Id="rId5" Type="http://schemas.openxmlformats.org/officeDocument/2006/relationships/webSettings" Target="webSettings.xml"/><Relationship Id="rId15" Type="http://schemas.openxmlformats.org/officeDocument/2006/relationships/hyperlink" Target="http://www.investexportbrasil.gov.br/acordo-de-valoracao-aduaneira" TargetMode="External"/><Relationship Id="rId10" Type="http://schemas.openxmlformats.org/officeDocument/2006/relationships/hyperlink" Target="http://www.investexportbrasil.gov.br/contribuicao-para-o-pispasep-e-cofins" TargetMode="External"/><Relationship Id="rId4" Type="http://schemas.openxmlformats.org/officeDocument/2006/relationships/settings" Target="settings.xml"/><Relationship Id="rId9" Type="http://schemas.openxmlformats.org/officeDocument/2006/relationships/hyperlink" Target="http://www.investexportbrasil.gov.br/imposto-sobre-produtos-industrializados" TargetMode="External"/><Relationship Id="rId14" Type="http://schemas.openxmlformats.org/officeDocument/2006/relationships/hyperlink" Target="http://www.investexportbrasil.gov.br/taxa-de-utilizacao-do-siscome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evista.ibdt.org.br/index.php/RDTA/article/download/1913/1729#:~:text=A%20Instru%C3%A7%C3%A3o%20Normativa%20SRF%20n%C2%BA,%2C%20Granada%2C%20Ilhas%20Cayman%2C%20Ilhas" TargetMode="External"/><Relationship Id="rId2" Type="http://schemas.openxmlformats.org/officeDocument/2006/relationships/hyperlink" Target="https://revista.ibdt.org.br/index.php/RDTA/article/download/1600/1091/5001" TargetMode="External"/><Relationship Id="rId1" Type="http://schemas.openxmlformats.org/officeDocument/2006/relationships/hyperlink" Target="https://revista.ibdt.org.br/index.php/RDTA/article/download/1600/1091/5001" TargetMode="External"/><Relationship Id="rId6" Type="http://schemas.openxmlformats.org/officeDocument/2006/relationships/hyperlink" Target="https://schoueri.com.br/wp-content/uploads/2020/10/LES-e-RCP-Tributac%CC%A7a%CC%83o-Internacional-e-o-Direito-Interno.pdf" TargetMode="External"/><Relationship Id="rId5" Type="http://schemas.openxmlformats.org/officeDocument/2006/relationships/hyperlink" Target="https://schoueri.com.br/wp-content/uploads/2020/10/LES-e-RCP-Tributac%CC%A7a%CC%83o-Internacional-e-o-Direito-Interno.pdf" TargetMode="External"/><Relationship Id="rId4" Type="http://schemas.openxmlformats.org/officeDocument/2006/relationships/hyperlink" Target="https://www.gov.br/empresas-e-negocios/pt-br/invest-export-brasil/importar/consulte-normas-tributarias/tratamento-tributario-na-importacao-1"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083782-02B6-4C11-9FB4-DE6E75570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26</Pages>
  <Words>9020</Words>
  <Characters>48711</Characters>
  <Application>Microsoft Office Word</Application>
  <DocSecurity>0</DocSecurity>
  <Lines>405</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Valera</dc:creator>
  <cp:keywords/>
  <dc:description/>
  <cp:lastModifiedBy>Renata Valera</cp:lastModifiedBy>
  <cp:revision>7</cp:revision>
  <dcterms:created xsi:type="dcterms:W3CDTF">2024-11-18T05:02:00Z</dcterms:created>
  <dcterms:modified xsi:type="dcterms:W3CDTF">2024-11-18T06:05:00Z</dcterms:modified>
</cp:coreProperties>
</file>