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AC169" w14:textId="77777777" w:rsidR="00081ED0" w:rsidRPr="00081ED0" w:rsidRDefault="00081ED0" w:rsidP="00081ED0">
      <w:pPr>
        <w:shd w:val="clear" w:color="auto" w:fill="FFFFFF"/>
        <w:rPr>
          <w:color w:val="222222"/>
          <w:sz w:val="22"/>
          <w:szCs w:val="22"/>
        </w:rPr>
      </w:pPr>
      <w:r w:rsidRPr="00081ED0">
        <w:rPr>
          <w:b/>
          <w:bCs/>
          <w:color w:val="222222"/>
          <w:sz w:val="22"/>
          <w:szCs w:val="22"/>
        </w:rPr>
        <w:t>Renata Sampaio Valera</w:t>
      </w:r>
    </w:p>
    <w:p w14:paraId="265AC844" w14:textId="77777777" w:rsidR="00081ED0" w:rsidRPr="00081ED0" w:rsidRDefault="00081ED0" w:rsidP="00081ED0">
      <w:pPr>
        <w:shd w:val="clear" w:color="auto" w:fill="FFFFFF"/>
        <w:rPr>
          <w:color w:val="222222"/>
          <w:sz w:val="22"/>
          <w:szCs w:val="22"/>
        </w:rPr>
      </w:pPr>
      <w:r w:rsidRPr="00081ED0">
        <w:rPr>
          <w:color w:val="222222"/>
          <w:sz w:val="22"/>
          <w:szCs w:val="22"/>
        </w:rPr>
        <w:t>RA 00351837 - Curso de Especialização em Direito Tributário [1º semestre de 2024 - turma 657T1TNA]</w:t>
      </w:r>
    </w:p>
    <w:p w14:paraId="03C19A7F" w14:textId="77777777" w:rsidR="00081ED0" w:rsidRPr="00081ED0" w:rsidRDefault="00081ED0" w:rsidP="00081ED0">
      <w:pPr>
        <w:pStyle w:val="Ttulo2"/>
        <w:spacing w:before="0" w:after="0"/>
        <w:jc w:val="center"/>
        <w:rPr>
          <w:rFonts w:ascii="Times New Roman" w:hAnsi="Times New Roman"/>
          <w:sz w:val="24"/>
          <w:szCs w:val="24"/>
          <w:u w:val="single"/>
        </w:rPr>
      </w:pPr>
    </w:p>
    <w:p w14:paraId="355099AF" w14:textId="77777777" w:rsidR="001B06F8" w:rsidRPr="00081ED0" w:rsidRDefault="001B06F8" w:rsidP="00081ED0">
      <w:pPr>
        <w:pStyle w:val="Ttulo2"/>
        <w:spacing w:before="0" w:after="0"/>
        <w:jc w:val="center"/>
        <w:rPr>
          <w:rFonts w:ascii="Times New Roman" w:hAnsi="Times New Roman"/>
          <w:sz w:val="24"/>
          <w:szCs w:val="24"/>
          <w:u w:val="single"/>
        </w:rPr>
      </w:pPr>
      <w:r w:rsidRPr="00081ED0">
        <w:rPr>
          <w:rFonts w:ascii="Times New Roman" w:hAnsi="Times New Roman"/>
          <w:sz w:val="24"/>
          <w:szCs w:val="24"/>
          <w:u w:val="single"/>
        </w:rPr>
        <w:t>Análise de casos VII</w:t>
      </w:r>
    </w:p>
    <w:p w14:paraId="7024941B" w14:textId="77777777" w:rsidR="001B06F8" w:rsidRPr="00081ED0" w:rsidRDefault="001B06F8" w:rsidP="00081ED0">
      <w:pPr>
        <w:pStyle w:val="Corpodetexto"/>
        <w:ind w:left="602"/>
        <w:rPr>
          <w:rFonts w:ascii="Times New Roman" w:hAnsi="Times New Roman"/>
          <w:sz w:val="24"/>
          <w:szCs w:val="24"/>
        </w:rPr>
      </w:pPr>
    </w:p>
    <w:p w14:paraId="4652BF3A" w14:textId="77777777" w:rsidR="001B06F8" w:rsidRPr="00081ED0" w:rsidRDefault="001B06F8" w:rsidP="00081ED0">
      <w:pPr>
        <w:pStyle w:val="PargrafodaLista"/>
        <w:numPr>
          <w:ilvl w:val="0"/>
          <w:numId w:val="4"/>
        </w:numPr>
        <w:tabs>
          <w:tab w:val="left" w:pos="1022"/>
        </w:tabs>
        <w:ind w:left="426" w:right="3" w:hanging="426"/>
        <w:jc w:val="both"/>
        <w:rPr>
          <w:b/>
          <w:sz w:val="24"/>
          <w:szCs w:val="24"/>
        </w:rPr>
      </w:pPr>
      <w:r w:rsidRPr="00081ED0">
        <w:rPr>
          <w:b/>
          <w:sz w:val="24"/>
          <w:szCs w:val="24"/>
        </w:rPr>
        <w:t>A não-cumulatividade do ICMS é um princípio jurídico? Ou seria mera técnica de tributação? Com suporte na premissa firmada em sua resposta, e considerando que a Lei Complementar 102/2000 trouxe substanciais alterações na legislação do ICMS, pergunta-se: (i) Segundo o seu entendimento, o princípio da não-cumulatividade foi observado, ao condicionar o aproveitamento do crédito do ativo a 1/48 ao mês, e ao estabelecer restrições ao direito de crédito do ICMS incidente na aquisição de energia elétrica e de comunicações? (</w:t>
      </w:r>
      <w:proofErr w:type="spellStart"/>
      <w:r w:rsidRPr="00081ED0">
        <w:rPr>
          <w:b/>
          <w:sz w:val="24"/>
          <w:szCs w:val="24"/>
        </w:rPr>
        <w:t>ii</w:t>
      </w:r>
      <w:proofErr w:type="spellEnd"/>
      <w:r w:rsidRPr="00081ED0">
        <w:rPr>
          <w:b/>
          <w:sz w:val="24"/>
          <w:szCs w:val="24"/>
        </w:rPr>
        <w:t xml:space="preserve">) O art. 155, § 2º, inc. </w:t>
      </w:r>
      <w:r w:rsidRPr="00081ED0">
        <w:rPr>
          <w:b/>
          <w:spacing w:val="-3"/>
          <w:sz w:val="24"/>
          <w:szCs w:val="24"/>
        </w:rPr>
        <w:t xml:space="preserve">I, </w:t>
      </w:r>
      <w:r w:rsidRPr="00081ED0">
        <w:rPr>
          <w:b/>
          <w:sz w:val="24"/>
          <w:szCs w:val="24"/>
        </w:rPr>
        <w:t xml:space="preserve">da CF, é auto- aplicável? Considerar, na resposta a decisão do STJ no </w:t>
      </w:r>
      <w:hyperlink r:id="rId8" w:history="1">
        <w:r w:rsidRPr="00081ED0">
          <w:rPr>
            <w:rStyle w:val="Hyperlink"/>
            <w:b/>
            <w:sz w:val="24"/>
            <w:szCs w:val="24"/>
          </w:rPr>
          <w:t>RMS 19176</w:t>
        </w:r>
      </w:hyperlink>
      <w:r w:rsidRPr="00081ED0">
        <w:rPr>
          <w:b/>
          <w:sz w:val="24"/>
          <w:szCs w:val="24"/>
        </w:rPr>
        <w:t>.</w:t>
      </w:r>
    </w:p>
    <w:p w14:paraId="6F7EF1CE" w14:textId="77777777" w:rsidR="001B06F8" w:rsidRPr="00081ED0" w:rsidRDefault="001B06F8" w:rsidP="00081ED0">
      <w:pPr>
        <w:pStyle w:val="PargrafodaLista"/>
        <w:tabs>
          <w:tab w:val="left" w:pos="1022"/>
        </w:tabs>
        <w:ind w:left="426" w:right="3"/>
        <w:jc w:val="both"/>
        <w:rPr>
          <w:b/>
          <w:sz w:val="24"/>
          <w:szCs w:val="24"/>
        </w:rPr>
      </w:pPr>
    </w:p>
    <w:p w14:paraId="740F4E97" w14:textId="77777777" w:rsidR="001B06F8" w:rsidRPr="00081ED0" w:rsidRDefault="001B06F8" w:rsidP="00081ED0">
      <w:pPr>
        <w:pStyle w:val="Corpodetexto"/>
        <w:rPr>
          <w:rFonts w:ascii="Times New Roman" w:hAnsi="Times New Roman"/>
          <w:sz w:val="24"/>
          <w:szCs w:val="24"/>
        </w:rPr>
      </w:pPr>
    </w:p>
    <w:p w14:paraId="0A46E048"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 xml:space="preserve">A não-cumulatividade do ICMS (Imposto sobre Circulação de Mercadorias e Serviços) é um princípio fundamental que visa evitar a incidência em cascata desse tributo ao longo da cadeia de produção e comercialização. </w:t>
      </w:r>
    </w:p>
    <w:p w14:paraId="5C16F382" w14:textId="77777777" w:rsidR="001B06F8" w:rsidRPr="00081ED0" w:rsidRDefault="001B06F8" w:rsidP="00D46A50">
      <w:pPr>
        <w:pStyle w:val="Corpodetexto"/>
        <w:ind w:firstLine="567"/>
        <w:rPr>
          <w:rFonts w:ascii="Times New Roman" w:hAnsi="Times New Roman"/>
          <w:sz w:val="24"/>
          <w:szCs w:val="24"/>
        </w:rPr>
      </w:pPr>
    </w:p>
    <w:p w14:paraId="7788BBC2"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 xml:space="preserve">Em outras palavras, ela assegura que o imposto seja pago apenas sobre o valor agregado em cada etapa da produção e comercialização de bens e serviços, e não sobre o valor total de cada transação. </w:t>
      </w:r>
    </w:p>
    <w:p w14:paraId="5397F324" w14:textId="77777777" w:rsidR="001B06F8" w:rsidRPr="00081ED0" w:rsidRDefault="001B06F8" w:rsidP="00D46A50">
      <w:pPr>
        <w:pStyle w:val="Corpodetexto"/>
        <w:ind w:firstLine="567"/>
        <w:rPr>
          <w:rFonts w:ascii="Times New Roman" w:hAnsi="Times New Roman"/>
          <w:sz w:val="24"/>
          <w:szCs w:val="24"/>
        </w:rPr>
      </w:pPr>
    </w:p>
    <w:p w14:paraId="07579B0D"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As Vantagens da Não-Cumulatividade são, em síntese:</w:t>
      </w:r>
    </w:p>
    <w:p w14:paraId="46E3F593" w14:textId="77777777" w:rsidR="001B06F8" w:rsidRPr="00081ED0" w:rsidRDefault="001B06F8" w:rsidP="00D46A50">
      <w:pPr>
        <w:pStyle w:val="Corpodetexto"/>
        <w:numPr>
          <w:ilvl w:val="0"/>
          <w:numId w:val="18"/>
        </w:numPr>
        <w:rPr>
          <w:rFonts w:ascii="Times New Roman" w:hAnsi="Times New Roman"/>
          <w:sz w:val="24"/>
          <w:szCs w:val="24"/>
        </w:rPr>
      </w:pPr>
      <w:r w:rsidRPr="00081ED0">
        <w:rPr>
          <w:rFonts w:ascii="Times New Roman" w:hAnsi="Times New Roman"/>
          <w:sz w:val="24"/>
          <w:szCs w:val="24"/>
        </w:rPr>
        <w:t>Evita Tributação em Cascata: Assegura que o ICMS seja cobrado apenas sobre o valor agregado em cada etapa da cadeia produtiva.</w:t>
      </w:r>
    </w:p>
    <w:p w14:paraId="3250D68E" w14:textId="77777777" w:rsidR="001B06F8" w:rsidRPr="00081ED0" w:rsidRDefault="001B06F8" w:rsidP="00D46A50">
      <w:pPr>
        <w:pStyle w:val="Corpodetexto"/>
        <w:numPr>
          <w:ilvl w:val="0"/>
          <w:numId w:val="18"/>
        </w:numPr>
        <w:rPr>
          <w:rFonts w:ascii="Times New Roman" w:hAnsi="Times New Roman"/>
          <w:sz w:val="24"/>
          <w:szCs w:val="24"/>
        </w:rPr>
      </w:pPr>
      <w:r w:rsidRPr="00081ED0">
        <w:rPr>
          <w:rFonts w:ascii="Times New Roman" w:hAnsi="Times New Roman"/>
          <w:sz w:val="24"/>
          <w:szCs w:val="24"/>
        </w:rPr>
        <w:t>Transparência Fiscal: Facilita o controle e a transparência na arrecadação do imposto.</w:t>
      </w:r>
    </w:p>
    <w:p w14:paraId="6243CA5E" w14:textId="77777777" w:rsidR="001B06F8" w:rsidRPr="00081ED0" w:rsidRDefault="001B06F8" w:rsidP="00D46A50">
      <w:pPr>
        <w:pStyle w:val="Corpodetexto"/>
        <w:numPr>
          <w:ilvl w:val="0"/>
          <w:numId w:val="18"/>
        </w:numPr>
        <w:rPr>
          <w:rFonts w:ascii="Times New Roman" w:hAnsi="Times New Roman"/>
          <w:sz w:val="24"/>
          <w:szCs w:val="24"/>
        </w:rPr>
      </w:pPr>
      <w:r w:rsidRPr="00081ED0">
        <w:rPr>
          <w:rFonts w:ascii="Times New Roman" w:hAnsi="Times New Roman"/>
          <w:sz w:val="24"/>
          <w:szCs w:val="24"/>
        </w:rPr>
        <w:t>Competitividade: Reduz o custo final dos produtos e serviços, beneficiando tanto as empresas quanto os consumidores.</w:t>
      </w:r>
    </w:p>
    <w:p w14:paraId="5DB76E9C" w14:textId="77777777" w:rsidR="001B06F8" w:rsidRPr="00081ED0" w:rsidRDefault="001B06F8" w:rsidP="00081ED0">
      <w:pPr>
        <w:pStyle w:val="Corpodetexto"/>
        <w:rPr>
          <w:rFonts w:ascii="Times New Roman" w:hAnsi="Times New Roman"/>
          <w:sz w:val="24"/>
          <w:szCs w:val="24"/>
        </w:rPr>
      </w:pPr>
    </w:p>
    <w:p w14:paraId="611B372E"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 xml:space="preserve">As empresas que adquirem mercadorias ou serviços para a realização de suas atividades podem utilizar o ICMS pago nessas aquisições como </w:t>
      </w:r>
      <w:r w:rsidRPr="00081ED0">
        <w:rPr>
          <w:rFonts w:ascii="Times New Roman" w:hAnsi="Times New Roman"/>
          <w:sz w:val="24"/>
          <w:szCs w:val="24"/>
          <w:u w:val="single"/>
        </w:rPr>
        <w:t>crédito fiscal</w:t>
      </w:r>
      <w:r w:rsidRPr="00081ED0">
        <w:rPr>
          <w:rFonts w:ascii="Times New Roman" w:hAnsi="Times New Roman"/>
          <w:sz w:val="24"/>
          <w:szCs w:val="24"/>
        </w:rPr>
        <w:t>. Esse crédito é abatido do ICMS que a empresa deve recolher quando vende seus produtos ou serviços.</w:t>
      </w:r>
    </w:p>
    <w:p w14:paraId="6C20B7C0" w14:textId="77777777" w:rsidR="001B06F8" w:rsidRPr="00081ED0" w:rsidRDefault="001B06F8" w:rsidP="00D46A50">
      <w:pPr>
        <w:pStyle w:val="Corpodetexto"/>
        <w:ind w:firstLine="567"/>
        <w:rPr>
          <w:rFonts w:ascii="Times New Roman" w:hAnsi="Times New Roman"/>
          <w:sz w:val="24"/>
          <w:szCs w:val="24"/>
        </w:rPr>
      </w:pPr>
    </w:p>
    <w:p w14:paraId="3E362B00"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Quando a empresa vende um produto ou serviço, ela deve calcular o ICMS sobre essa venda (</w:t>
      </w:r>
      <w:r w:rsidRPr="00081ED0">
        <w:rPr>
          <w:rFonts w:ascii="Times New Roman" w:hAnsi="Times New Roman"/>
          <w:sz w:val="24"/>
          <w:szCs w:val="24"/>
          <w:u w:val="single"/>
        </w:rPr>
        <w:t>débito fiscal</w:t>
      </w:r>
      <w:r w:rsidRPr="00081ED0">
        <w:rPr>
          <w:rFonts w:ascii="Times New Roman" w:hAnsi="Times New Roman"/>
          <w:sz w:val="24"/>
          <w:szCs w:val="24"/>
        </w:rPr>
        <w:t>). O valor do imposto é incluído no preço de venda cobrado do comprador.</w:t>
      </w:r>
    </w:p>
    <w:p w14:paraId="3F1C685B" w14:textId="77777777" w:rsidR="001B06F8" w:rsidRPr="00081ED0" w:rsidRDefault="001B06F8" w:rsidP="00D46A50">
      <w:pPr>
        <w:pStyle w:val="Corpodetexto"/>
        <w:ind w:firstLine="567"/>
        <w:rPr>
          <w:rFonts w:ascii="Times New Roman" w:hAnsi="Times New Roman"/>
          <w:sz w:val="24"/>
          <w:szCs w:val="24"/>
        </w:rPr>
      </w:pPr>
    </w:p>
    <w:p w14:paraId="3FDC3E3B" w14:textId="77777777" w:rsidR="001B06F8" w:rsidRPr="00081ED0" w:rsidRDefault="001B06F8" w:rsidP="00D46A50">
      <w:pPr>
        <w:pStyle w:val="Corpodetexto"/>
        <w:ind w:firstLine="567"/>
        <w:rPr>
          <w:rFonts w:ascii="Times New Roman" w:hAnsi="Times New Roman"/>
          <w:i/>
          <w:sz w:val="24"/>
          <w:szCs w:val="24"/>
        </w:rPr>
      </w:pPr>
      <w:r w:rsidRPr="00081ED0">
        <w:rPr>
          <w:rFonts w:ascii="Times New Roman" w:hAnsi="Times New Roman"/>
          <w:sz w:val="24"/>
          <w:szCs w:val="24"/>
        </w:rPr>
        <w:t xml:space="preserve">Quanto à </w:t>
      </w:r>
      <w:r w:rsidRPr="00081ED0">
        <w:rPr>
          <w:rFonts w:ascii="Times New Roman" w:hAnsi="Times New Roman"/>
          <w:sz w:val="24"/>
          <w:szCs w:val="24"/>
          <w:u w:val="single"/>
        </w:rPr>
        <w:t>apuração do ICMS</w:t>
      </w:r>
      <w:r w:rsidRPr="00081ED0">
        <w:rPr>
          <w:rFonts w:ascii="Times New Roman" w:hAnsi="Times New Roman"/>
          <w:sz w:val="24"/>
          <w:szCs w:val="24"/>
        </w:rPr>
        <w:t xml:space="preserve">: No final do período de apuração (geralmente mensal), a empresa compara o valor do ICMS devido sobre as vendas (débito fiscal) com o valor do ICMS pago sobre as aquisições (crédito fiscal). O imposto a recolher será a diferença entre o débito e o crédito. </w:t>
      </w:r>
      <w:r w:rsidRPr="00081ED0">
        <w:rPr>
          <w:rFonts w:ascii="Times New Roman" w:hAnsi="Times New Roman"/>
          <w:i/>
          <w:sz w:val="24"/>
          <w:szCs w:val="24"/>
        </w:rPr>
        <w:t>Fórmula: ICMS a Recolher = ICMS sobre Vendas (Débito) - ICMS sobre Aquisições (Crédito)</w:t>
      </w:r>
    </w:p>
    <w:p w14:paraId="7F4C28BC" w14:textId="77777777" w:rsidR="001B06F8" w:rsidRPr="00081ED0" w:rsidRDefault="001B06F8" w:rsidP="00D46A50">
      <w:pPr>
        <w:pStyle w:val="Corpodetexto"/>
        <w:ind w:firstLine="567"/>
        <w:rPr>
          <w:rFonts w:ascii="Times New Roman" w:hAnsi="Times New Roman"/>
          <w:sz w:val="24"/>
          <w:szCs w:val="24"/>
        </w:rPr>
      </w:pPr>
    </w:p>
    <w:p w14:paraId="27C3A331" w14:textId="77777777" w:rsidR="001B06F8" w:rsidRPr="00081ED0" w:rsidRDefault="001B06F8" w:rsidP="00D46A50">
      <w:pPr>
        <w:ind w:firstLine="567"/>
        <w:jc w:val="both"/>
        <w:rPr>
          <w:b/>
          <w:color w:val="000000"/>
          <w:sz w:val="24"/>
          <w:szCs w:val="24"/>
        </w:rPr>
      </w:pPr>
      <w:r w:rsidRPr="00081ED0">
        <w:rPr>
          <w:b/>
          <w:color w:val="000000"/>
          <w:sz w:val="24"/>
          <w:szCs w:val="24"/>
        </w:rPr>
        <w:t xml:space="preserve">A não-cumulatividade do ICMS é considerada um princípio jurídico estabelecido pela Constituição Federal do Brasil. </w:t>
      </w:r>
    </w:p>
    <w:p w14:paraId="1758620D" w14:textId="77777777" w:rsidR="001B06F8" w:rsidRPr="00081ED0" w:rsidRDefault="001B06F8" w:rsidP="00081ED0">
      <w:pPr>
        <w:jc w:val="both"/>
        <w:rPr>
          <w:b/>
          <w:color w:val="000000"/>
          <w:sz w:val="24"/>
          <w:szCs w:val="24"/>
        </w:rPr>
      </w:pPr>
    </w:p>
    <w:p w14:paraId="34B638A2" w14:textId="77777777" w:rsidR="001B06F8" w:rsidRPr="00081ED0" w:rsidRDefault="001B06F8" w:rsidP="00D46A50">
      <w:pPr>
        <w:ind w:firstLine="567"/>
        <w:jc w:val="both"/>
        <w:rPr>
          <w:b/>
          <w:color w:val="000000"/>
          <w:sz w:val="24"/>
          <w:szCs w:val="24"/>
        </w:rPr>
      </w:pPr>
      <w:r w:rsidRPr="00081ED0">
        <w:rPr>
          <w:b/>
          <w:color w:val="000000"/>
          <w:sz w:val="24"/>
          <w:szCs w:val="24"/>
        </w:rPr>
        <w:t>A não-cumulatividade do ICMS está expressamente prevista na Constituição Federal do Brasil de 1988, no artigo 155, § 2º, I.</w:t>
      </w:r>
    </w:p>
    <w:p w14:paraId="4DA76343" w14:textId="77777777" w:rsidR="001B06F8" w:rsidRPr="00081ED0" w:rsidRDefault="001B06F8" w:rsidP="00D46A50">
      <w:pPr>
        <w:ind w:firstLine="567"/>
        <w:jc w:val="both"/>
        <w:rPr>
          <w:b/>
          <w:color w:val="000000"/>
          <w:sz w:val="24"/>
          <w:szCs w:val="24"/>
        </w:rPr>
      </w:pPr>
      <w:r w:rsidRPr="00081ED0">
        <w:rPr>
          <w:b/>
          <w:color w:val="000000"/>
          <w:sz w:val="24"/>
          <w:szCs w:val="24"/>
        </w:rPr>
        <w:t>Isso significa que não é apenas uma técnica de tributação, mas um princípio fundamental que deve ser observado obrigatoriamente.</w:t>
      </w:r>
    </w:p>
    <w:p w14:paraId="2997D4F6" w14:textId="77777777" w:rsidR="001B06F8" w:rsidRPr="00081ED0" w:rsidRDefault="001B06F8" w:rsidP="00D46A50">
      <w:pPr>
        <w:ind w:firstLine="567"/>
        <w:jc w:val="both"/>
        <w:rPr>
          <w:b/>
          <w:color w:val="000000"/>
          <w:sz w:val="24"/>
          <w:szCs w:val="24"/>
        </w:rPr>
      </w:pPr>
    </w:p>
    <w:p w14:paraId="40D1B01E" w14:textId="77777777" w:rsidR="001B06F8" w:rsidRPr="00081ED0" w:rsidRDefault="001B06F8" w:rsidP="00D46A50">
      <w:pPr>
        <w:ind w:firstLine="567"/>
        <w:jc w:val="both"/>
        <w:rPr>
          <w:color w:val="000000"/>
          <w:sz w:val="24"/>
          <w:szCs w:val="24"/>
        </w:rPr>
      </w:pPr>
      <w:r w:rsidRPr="00081ED0">
        <w:rPr>
          <w:color w:val="000000"/>
          <w:sz w:val="24"/>
          <w:szCs w:val="24"/>
        </w:rPr>
        <w:t>Por ser um princípio constitucional, todos os estados brasileiros devem aplicá-lo ao instituírem e cobrarem o ICMS.</w:t>
      </w:r>
    </w:p>
    <w:p w14:paraId="475E4511" w14:textId="77777777" w:rsidR="001B06F8" w:rsidRPr="00081ED0" w:rsidRDefault="001B06F8" w:rsidP="00D46A50">
      <w:pPr>
        <w:ind w:firstLine="567"/>
        <w:jc w:val="both"/>
        <w:rPr>
          <w:color w:val="000000"/>
          <w:sz w:val="24"/>
          <w:szCs w:val="24"/>
        </w:rPr>
      </w:pPr>
    </w:p>
    <w:p w14:paraId="068C72AC" w14:textId="77777777" w:rsidR="001B06F8" w:rsidRPr="00081ED0" w:rsidRDefault="001B06F8" w:rsidP="00D46A50">
      <w:pPr>
        <w:ind w:firstLine="567"/>
        <w:jc w:val="both"/>
        <w:rPr>
          <w:color w:val="000000"/>
          <w:sz w:val="24"/>
          <w:szCs w:val="24"/>
        </w:rPr>
      </w:pPr>
      <w:r w:rsidRPr="00081ED0">
        <w:rPr>
          <w:color w:val="000000"/>
          <w:sz w:val="24"/>
          <w:szCs w:val="24"/>
        </w:rPr>
        <w:t>Não se trata de uma escolha ou uma mera técnica opcional, mas de uma regra obrigatória.</w:t>
      </w:r>
    </w:p>
    <w:p w14:paraId="5517EDA0" w14:textId="77777777" w:rsidR="001B06F8" w:rsidRPr="00081ED0" w:rsidRDefault="001B06F8" w:rsidP="00D46A50">
      <w:pPr>
        <w:pStyle w:val="Corpodetexto"/>
        <w:ind w:firstLine="567"/>
        <w:rPr>
          <w:rFonts w:ascii="Times New Roman" w:hAnsi="Times New Roman"/>
          <w:sz w:val="24"/>
          <w:szCs w:val="24"/>
        </w:rPr>
      </w:pPr>
    </w:p>
    <w:p w14:paraId="1203F55C"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Na prática, a não-cumulatividade é implementada através de mecanismos técnicos, como a apuração de créditos e débitos de ICMS. As empresas calculam o imposto devido subtraindo os créditos de ICMS (imposto pago nas compras) dos débitos de ICMS (imposto cobrado nas vendas). As técnicas de apuração, como escrituração fiscal e utilização de sistemas eletrônicos (</w:t>
      </w:r>
      <w:proofErr w:type="spellStart"/>
      <w:r w:rsidRPr="00081ED0">
        <w:rPr>
          <w:rFonts w:ascii="Times New Roman" w:hAnsi="Times New Roman"/>
          <w:sz w:val="24"/>
          <w:szCs w:val="24"/>
        </w:rPr>
        <w:t>ex</w:t>
      </w:r>
      <w:proofErr w:type="spellEnd"/>
      <w:r w:rsidRPr="00081ED0">
        <w:rPr>
          <w:rFonts w:ascii="Times New Roman" w:hAnsi="Times New Roman"/>
          <w:sz w:val="24"/>
          <w:szCs w:val="24"/>
        </w:rPr>
        <w:t xml:space="preserve">: SPED Fiscal), são métodos práticos para garantir a aplicação do princípio da não-cumulatividade. </w:t>
      </w:r>
    </w:p>
    <w:p w14:paraId="3CE882EB" w14:textId="77777777" w:rsidR="001B06F8" w:rsidRPr="00081ED0" w:rsidRDefault="001B06F8" w:rsidP="00D46A50">
      <w:pPr>
        <w:pStyle w:val="Corpodetexto"/>
        <w:ind w:firstLine="567"/>
        <w:rPr>
          <w:rFonts w:ascii="Times New Roman" w:hAnsi="Times New Roman"/>
          <w:sz w:val="24"/>
          <w:szCs w:val="24"/>
        </w:rPr>
      </w:pPr>
    </w:p>
    <w:p w14:paraId="3EF34990"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 xml:space="preserve">Logo, </w:t>
      </w:r>
      <w:r w:rsidRPr="00081ED0">
        <w:rPr>
          <w:rFonts w:ascii="Times New Roman" w:hAnsi="Times New Roman"/>
          <w:color w:val="0D0D0D"/>
          <w:sz w:val="24"/>
          <w:szCs w:val="24"/>
          <w:shd w:val="clear" w:color="auto" w:fill="FFFFFF"/>
        </w:rPr>
        <w:t xml:space="preserve">a não-cumulatividade do ICMS é, antes de tudo, um princípio jurídico, porque está prevista na Constituição e obriga todos os entes federativos e contribuintes a segui-la. </w:t>
      </w:r>
      <w:r w:rsidRPr="00081ED0">
        <w:rPr>
          <w:rFonts w:ascii="Times New Roman" w:hAnsi="Times New Roman"/>
          <w:color w:val="0D0D0D"/>
          <w:sz w:val="24"/>
          <w:szCs w:val="24"/>
          <w:u w:val="single"/>
          <w:shd w:val="clear" w:color="auto" w:fill="FFFFFF"/>
        </w:rPr>
        <w:t>Para operacionalizar esse princípio jurídico, utiliza-se uma técnica de tributação específica</w:t>
      </w:r>
      <w:r w:rsidRPr="00081ED0">
        <w:rPr>
          <w:rFonts w:ascii="Times New Roman" w:hAnsi="Times New Roman"/>
          <w:color w:val="0D0D0D"/>
          <w:sz w:val="24"/>
          <w:szCs w:val="24"/>
          <w:shd w:val="clear" w:color="auto" w:fill="FFFFFF"/>
        </w:rPr>
        <w:t>, que envolve o crédito e débito do imposto ao longo da cadeia de produção e comercialização.</w:t>
      </w:r>
    </w:p>
    <w:p w14:paraId="1659EB23" w14:textId="77777777" w:rsidR="001B06F8" w:rsidRPr="00081ED0" w:rsidRDefault="001B06F8" w:rsidP="00D46A50">
      <w:pPr>
        <w:pStyle w:val="Corpodetexto"/>
        <w:ind w:firstLine="567"/>
        <w:rPr>
          <w:rFonts w:ascii="Times New Roman" w:hAnsi="Times New Roman"/>
          <w:sz w:val="24"/>
          <w:szCs w:val="24"/>
        </w:rPr>
      </w:pPr>
    </w:p>
    <w:p w14:paraId="129E5EAE" w14:textId="77777777" w:rsidR="001B06F8" w:rsidRPr="00081ED0" w:rsidRDefault="001B06F8" w:rsidP="00D46A50">
      <w:pPr>
        <w:pStyle w:val="Corpodetexto"/>
        <w:ind w:firstLine="567"/>
        <w:rPr>
          <w:rFonts w:ascii="Times New Roman" w:hAnsi="Times New Roman"/>
          <w:sz w:val="24"/>
          <w:szCs w:val="24"/>
          <w:u w:val="single"/>
        </w:rPr>
      </w:pPr>
      <w:r w:rsidRPr="00081ED0">
        <w:rPr>
          <w:rFonts w:ascii="Times New Roman" w:hAnsi="Times New Roman"/>
          <w:sz w:val="24"/>
          <w:szCs w:val="24"/>
          <w:u w:val="single"/>
        </w:rPr>
        <w:t xml:space="preserve">Quanto à seguinte questão: </w:t>
      </w:r>
      <w:r w:rsidRPr="00081ED0">
        <w:rPr>
          <w:rFonts w:ascii="Times New Roman" w:hAnsi="Times New Roman"/>
          <w:i/>
          <w:sz w:val="24"/>
          <w:szCs w:val="24"/>
          <w:u w:val="single"/>
        </w:rPr>
        <w:t>“O princípio da não-cumulatividade foi observado ao condicionar o aproveitamento do crédito do ativo a 1/48 ao mês e ao estabelecer restrições ao direito de crédito do ICMS incidente na aquisição de energia elétrica e de comunicações?”</w:t>
      </w:r>
    </w:p>
    <w:p w14:paraId="60A2FF31" w14:textId="77777777" w:rsidR="001B06F8" w:rsidRPr="00081ED0" w:rsidRDefault="001B06F8" w:rsidP="00D46A50">
      <w:pPr>
        <w:pStyle w:val="Corpodetexto"/>
        <w:ind w:firstLine="567"/>
        <w:rPr>
          <w:rFonts w:ascii="Times New Roman" w:hAnsi="Times New Roman"/>
          <w:sz w:val="24"/>
          <w:szCs w:val="24"/>
        </w:rPr>
      </w:pPr>
    </w:p>
    <w:p w14:paraId="6824EDAA" w14:textId="77777777" w:rsidR="001B06F8" w:rsidRPr="00081ED0" w:rsidRDefault="001B06F8" w:rsidP="00D46A50">
      <w:pPr>
        <w:pStyle w:val="Corpodetexto"/>
        <w:ind w:firstLine="567"/>
        <w:rPr>
          <w:rFonts w:ascii="Times New Roman" w:hAnsi="Times New Roman"/>
          <w:sz w:val="24"/>
          <w:szCs w:val="24"/>
        </w:rPr>
      </w:pPr>
      <w:r w:rsidRPr="00081ED0">
        <w:rPr>
          <w:rFonts w:ascii="Times New Roman" w:hAnsi="Times New Roman"/>
          <w:sz w:val="24"/>
          <w:szCs w:val="24"/>
        </w:rPr>
        <w:t>A análise deve considerar duas principais mudanças introduzidas pela Lei Complementar 102/2000:</w:t>
      </w:r>
    </w:p>
    <w:p w14:paraId="6BBE7E0E" w14:textId="77777777" w:rsidR="001B06F8" w:rsidRPr="00081ED0" w:rsidRDefault="001B06F8" w:rsidP="00D46A50">
      <w:pPr>
        <w:pStyle w:val="Corpodetexto"/>
        <w:ind w:firstLine="567"/>
        <w:rPr>
          <w:rFonts w:ascii="Times New Roman" w:hAnsi="Times New Roman"/>
          <w:sz w:val="24"/>
          <w:szCs w:val="24"/>
        </w:rPr>
      </w:pPr>
    </w:p>
    <w:p w14:paraId="05F6BD20" w14:textId="77777777" w:rsidR="001B06F8" w:rsidRPr="00081ED0" w:rsidRDefault="001B06F8" w:rsidP="002366A8">
      <w:pPr>
        <w:pStyle w:val="Corpodetexto"/>
        <w:numPr>
          <w:ilvl w:val="0"/>
          <w:numId w:val="8"/>
        </w:numPr>
        <w:ind w:left="993"/>
        <w:rPr>
          <w:rFonts w:ascii="Times New Roman" w:hAnsi="Times New Roman"/>
          <w:sz w:val="24"/>
          <w:szCs w:val="24"/>
        </w:rPr>
      </w:pPr>
      <w:r w:rsidRPr="00081ED0">
        <w:rPr>
          <w:rFonts w:ascii="Times New Roman" w:hAnsi="Times New Roman"/>
          <w:sz w:val="24"/>
          <w:szCs w:val="24"/>
        </w:rPr>
        <w:t>Aproveitamento do Crédito do Ativo Fixo a 1/48 ao Mês:</w:t>
      </w:r>
    </w:p>
    <w:p w14:paraId="65C2269A" w14:textId="77777777" w:rsidR="001B06F8" w:rsidRPr="00081ED0" w:rsidRDefault="001B06F8" w:rsidP="00081ED0">
      <w:pPr>
        <w:pStyle w:val="Corpodetexto"/>
        <w:rPr>
          <w:rFonts w:ascii="Times New Roman" w:hAnsi="Times New Roman"/>
          <w:sz w:val="24"/>
          <w:szCs w:val="24"/>
        </w:rPr>
      </w:pPr>
    </w:p>
    <w:p w14:paraId="644FC1B4" w14:textId="77777777" w:rsidR="001B06F8" w:rsidRPr="00081ED0" w:rsidRDefault="001B06F8" w:rsidP="002366A8">
      <w:pPr>
        <w:pStyle w:val="Corpodetexto"/>
        <w:numPr>
          <w:ilvl w:val="0"/>
          <w:numId w:val="19"/>
        </w:numPr>
        <w:ind w:left="1560"/>
        <w:rPr>
          <w:rFonts w:ascii="Times New Roman" w:hAnsi="Times New Roman"/>
          <w:sz w:val="24"/>
          <w:szCs w:val="24"/>
        </w:rPr>
      </w:pPr>
      <w:r w:rsidRPr="00081ED0">
        <w:rPr>
          <w:rFonts w:ascii="Times New Roman" w:hAnsi="Times New Roman"/>
          <w:sz w:val="24"/>
          <w:szCs w:val="24"/>
        </w:rPr>
        <w:t>A LC 102/2000 alterou a LC 87/1996, estabelecendo que o crédito de ICMS sobre bens destinados ao ativo permanente deve ser aproveitado ao longo de 48 meses, em parcelas mensais.</w:t>
      </w:r>
    </w:p>
    <w:p w14:paraId="62C6F579" w14:textId="77777777" w:rsidR="001B06F8" w:rsidRPr="00081ED0" w:rsidRDefault="001B06F8" w:rsidP="002366A8">
      <w:pPr>
        <w:pStyle w:val="Corpodetexto"/>
        <w:numPr>
          <w:ilvl w:val="0"/>
          <w:numId w:val="19"/>
        </w:numPr>
        <w:ind w:left="1560"/>
        <w:rPr>
          <w:rFonts w:ascii="Times New Roman" w:hAnsi="Times New Roman"/>
          <w:sz w:val="24"/>
          <w:szCs w:val="24"/>
        </w:rPr>
      </w:pPr>
      <w:r w:rsidRPr="00081ED0">
        <w:rPr>
          <w:rFonts w:ascii="Times New Roman" w:hAnsi="Times New Roman"/>
          <w:sz w:val="24"/>
          <w:szCs w:val="24"/>
        </w:rPr>
        <w:t>Jurisprudência: O STJ, no Recurso em Mandado de Segurança (RMS) 19176, decidiu que essa alteração não viola o princípio da não-cumulatividade. O tribunal entendeu que escalonar o aproveitamento do crédito é uma medida legislativa válida e não fere a Constituição, já que o legislador tem o poder de regular a forma de aproveitamento dos créditos tributários.</w:t>
      </w:r>
    </w:p>
    <w:p w14:paraId="05C4100E" w14:textId="77777777" w:rsidR="001B06F8" w:rsidRPr="00081ED0" w:rsidRDefault="001B06F8" w:rsidP="00081ED0">
      <w:pPr>
        <w:pStyle w:val="Corpodetexto"/>
        <w:rPr>
          <w:rFonts w:ascii="Times New Roman" w:hAnsi="Times New Roman"/>
          <w:sz w:val="24"/>
          <w:szCs w:val="24"/>
        </w:rPr>
      </w:pPr>
    </w:p>
    <w:p w14:paraId="4DA8AE8B" w14:textId="77777777" w:rsidR="001B06F8" w:rsidRPr="00081ED0" w:rsidRDefault="001B06F8" w:rsidP="002366A8">
      <w:pPr>
        <w:pStyle w:val="Corpodetexto"/>
        <w:numPr>
          <w:ilvl w:val="0"/>
          <w:numId w:val="8"/>
        </w:numPr>
        <w:ind w:left="993"/>
        <w:rPr>
          <w:rFonts w:ascii="Times New Roman" w:hAnsi="Times New Roman"/>
          <w:sz w:val="24"/>
          <w:szCs w:val="24"/>
        </w:rPr>
      </w:pPr>
      <w:r w:rsidRPr="00081ED0">
        <w:rPr>
          <w:rFonts w:ascii="Times New Roman" w:hAnsi="Times New Roman"/>
          <w:sz w:val="24"/>
          <w:szCs w:val="24"/>
        </w:rPr>
        <w:t>Restrições ao Crédito do ICMS em Energia Elétrica e Serviços de Telecomunicações:</w:t>
      </w:r>
    </w:p>
    <w:p w14:paraId="5B3CF2F2" w14:textId="77777777" w:rsidR="001B06F8" w:rsidRPr="00081ED0" w:rsidRDefault="001B06F8" w:rsidP="00081ED0">
      <w:pPr>
        <w:pStyle w:val="Corpodetexto"/>
        <w:rPr>
          <w:rFonts w:ascii="Times New Roman" w:hAnsi="Times New Roman"/>
          <w:sz w:val="24"/>
          <w:szCs w:val="24"/>
        </w:rPr>
      </w:pPr>
    </w:p>
    <w:p w14:paraId="4C410FB2" w14:textId="77777777" w:rsidR="001B06F8" w:rsidRPr="00081ED0" w:rsidRDefault="001B06F8" w:rsidP="002366A8">
      <w:pPr>
        <w:pStyle w:val="Corpodetexto"/>
        <w:numPr>
          <w:ilvl w:val="0"/>
          <w:numId w:val="20"/>
        </w:numPr>
        <w:ind w:left="1560"/>
        <w:rPr>
          <w:rFonts w:ascii="Times New Roman" w:hAnsi="Times New Roman"/>
          <w:sz w:val="24"/>
          <w:szCs w:val="24"/>
        </w:rPr>
      </w:pPr>
      <w:r w:rsidRPr="00081ED0">
        <w:rPr>
          <w:rFonts w:ascii="Times New Roman" w:hAnsi="Times New Roman"/>
          <w:sz w:val="24"/>
          <w:szCs w:val="24"/>
        </w:rPr>
        <w:t xml:space="preserve">A LC 102/2000 manteve restrições ao crédito do ICMS em energia elétrica e serviços de telecomunicações, permitindo o crédito apenas </w:t>
      </w:r>
      <w:r w:rsidRPr="00081ED0">
        <w:rPr>
          <w:rFonts w:ascii="Times New Roman" w:hAnsi="Times New Roman"/>
          <w:sz w:val="24"/>
          <w:szCs w:val="24"/>
        </w:rPr>
        <w:lastRenderedPageBreak/>
        <w:t>quando esses insumos são utilizados diretamente no processo de industrialização ou quando são objeto da operação.</w:t>
      </w:r>
    </w:p>
    <w:p w14:paraId="7703FB13" w14:textId="77777777" w:rsidR="001B06F8" w:rsidRPr="00081ED0" w:rsidRDefault="001B06F8" w:rsidP="002366A8">
      <w:pPr>
        <w:pStyle w:val="Corpodetexto"/>
        <w:numPr>
          <w:ilvl w:val="0"/>
          <w:numId w:val="20"/>
        </w:numPr>
        <w:ind w:left="1560"/>
        <w:rPr>
          <w:rFonts w:ascii="Times New Roman" w:hAnsi="Times New Roman"/>
          <w:sz w:val="24"/>
          <w:szCs w:val="24"/>
        </w:rPr>
      </w:pPr>
      <w:r w:rsidRPr="00081ED0">
        <w:rPr>
          <w:rFonts w:ascii="Times New Roman" w:hAnsi="Times New Roman"/>
          <w:sz w:val="24"/>
          <w:szCs w:val="24"/>
        </w:rPr>
        <w:t>Jurisprudência: O STJ, no mesmo RMS 19176, afirmou que essas restrições não são novas e já estavam previstas em legislação anterior. O tribunal também entendeu que essas restrições não violam o princípio da não-cumulatividade, pois visam evitar a oneração excessiva e a cumulatividade tributária em operações não diretamente ligadas ao processo produtivo principal da empresa.</w:t>
      </w:r>
    </w:p>
    <w:p w14:paraId="6EC3F8D1" w14:textId="77777777" w:rsidR="001B06F8" w:rsidRPr="00081ED0" w:rsidRDefault="001B06F8" w:rsidP="00081ED0">
      <w:pPr>
        <w:pStyle w:val="Corpodetexto"/>
        <w:rPr>
          <w:rFonts w:ascii="Times New Roman" w:hAnsi="Times New Roman"/>
          <w:sz w:val="24"/>
          <w:szCs w:val="24"/>
        </w:rPr>
      </w:pPr>
    </w:p>
    <w:p w14:paraId="6F2D5FEF" w14:textId="77777777" w:rsidR="001B06F8" w:rsidRPr="00081ED0" w:rsidRDefault="005D41BE" w:rsidP="002366A8">
      <w:pPr>
        <w:pStyle w:val="Corpodetexto"/>
        <w:ind w:firstLine="567"/>
        <w:rPr>
          <w:rFonts w:ascii="Times New Roman" w:hAnsi="Times New Roman"/>
          <w:sz w:val="24"/>
          <w:szCs w:val="24"/>
        </w:rPr>
      </w:pPr>
      <w:r w:rsidRPr="00081ED0">
        <w:rPr>
          <w:rFonts w:ascii="Times New Roman" w:hAnsi="Times New Roman"/>
          <w:sz w:val="24"/>
          <w:szCs w:val="24"/>
        </w:rPr>
        <w:t xml:space="preserve">Quanto à parte seguinte da questão: </w:t>
      </w:r>
      <w:r w:rsidRPr="00081ED0">
        <w:rPr>
          <w:rFonts w:ascii="Times New Roman" w:hAnsi="Times New Roman"/>
          <w:i/>
          <w:sz w:val="24"/>
          <w:szCs w:val="24"/>
        </w:rPr>
        <w:t>“</w:t>
      </w:r>
      <w:r w:rsidR="001B06F8" w:rsidRPr="00081ED0">
        <w:rPr>
          <w:rFonts w:ascii="Times New Roman" w:hAnsi="Times New Roman"/>
          <w:i/>
          <w:sz w:val="24"/>
          <w:szCs w:val="24"/>
        </w:rPr>
        <w:t>O art. 155, § 2º, inc. I, da CF, é autoaplicável? Considerar, na resposta, a decisão do STJ no RMS 19176.</w:t>
      </w:r>
      <w:r w:rsidRPr="00081ED0">
        <w:rPr>
          <w:rFonts w:ascii="Times New Roman" w:hAnsi="Times New Roman"/>
          <w:i/>
          <w:sz w:val="24"/>
          <w:szCs w:val="24"/>
        </w:rPr>
        <w:t>”</w:t>
      </w:r>
    </w:p>
    <w:p w14:paraId="3AC65753" w14:textId="77777777" w:rsidR="001B06F8" w:rsidRPr="00081ED0" w:rsidRDefault="001B06F8" w:rsidP="002366A8">
      <w:pPr>
        <w:pStyle w:val="Corpodetexto"/>
        <w:ind w:firstLine="567"/>
        <w:rPr>
          <w:rFonts w:ascii="Times New Roman" w:hAnsi="Times New Roman"/>
          <w:sz w:val="24"/>
          <w:szCs w:val="24"/>
        </w:rPr>
      </w:pPr>
    </w:p>
    <w:p w14:paraId="6610DC99" w14:textId="77777777" w:rsidR="001B06F8" w:rsidRPr="00081ED0" w:rsidRDefault="001B06F8" w:rsidP="002366A8">
      <w:pPr>
        <w:pStyle w:val="Corpodetexto"/>
        <w:ind w:firstLine="567"/>
        <w:rPr>
          <w:rFonts w:ascii="Times New Roman" w:hAnsi="Times New Roman"/>
          <w:sz w:val="24"/>
          <w:szCs w:val="24"/>
        </w:rPr>
      </w:pPr>
      <w:r w:rsidRPr="00081ED0">
        <w:rPr>
          <w:rFonts w:ascii="Times New Roman" w:hAnsi="Times New Roman"/>
          <w:sz w:val="24"/>
          <w:szCs w:val="24"/>
        </w:rPr>
        <w:t>O artigo 155, § 2º, I, da Constituição Federal, estabelece o princípio da não-cumulatividade para o ICMS, determinando que o imposto deve ser compensado com o montante cobrado nas operações anteriores.</w:t>
      </w:r>
    </w:p>
    <w:p w14:paraId="2FEBC46E" w14:textId="77777777" w:rsidR="001B06F8" w:rsidRPr="00081ED0" w:rsidRDefault="001B06F8" w:rsidP="002366A8">
      <w:pPr>
        <w:pStyle w:val="Corpodetexto"/>
        <w:ind w:firstLine="567"/>
        <w:rPr>
          <w:rFonts w:ascii="Times New Roman" w:hAnsi="Times New Roman"/>
          <w:sz w:val="24"/>
          <w:szCs w:val="24"/>
        </w:rPr>
      </w:pPr>
    </w:p>
    <w:p w14:paraId="02DB8A8E" w14:textId="77777777" w:rsidR="001B06F8" w:rsidRPr="00081ED0" w:rsidRDefault="001B06F8" w:rsidP="002366A8">
      <w:pPr>
        <w:pStyle w:val="Corpodetexto"/>
        <w:ind w:firstLine="567"/>
        <w:rPr>
          <w:rFonts w:ascii="Times New Roman" w:hAnsi="Times New Roman"/>
          <w:sz w:val="24"/>
          <w:szCs w:val="24"/>
        </w:rPr>
      </w:pPr>
      <w:r w:rsidRPr="00081ED0">
        <w:rPr>
          <w:rFonts w:ascii="Times New Roman" w:hAnsi="Times New Roman"/>
          <w:sz w:val="24"/>
          <w:szCs w:val="24"/>
          <w:u w:val="single"/>
        </w:rPr>
        <w:t>Autoaplicabilidade</w:t>
      </w:r>
      <w:r w:rsidRPr="00081ED0">
        <w:rPr>
          <w:rFonts w:ascii="Times New Roman" w:hAnsi="Times New Roman"/>
          <w:sz w:val="24"/>
          <w:szCs w:val="24"/>
        </w:rPr>
        <w:t>:</w:t>
      </w:r>
    </w:p>
    <w:p w14:paraId="3B5F0DDA" w14:textId="77777777" w:rsidR="001B06F8" w:rsidRPr="00081ED0" w:rsidRDefault="001B06F8" w:rsidP="00081ED0">
      <w:pPr>
        <w:pStyle w:val="Corpodetexto"/>
        <w:rPr>
          <w:rFonts w:ascii="Times New Roman" w:hAnsi="Times New Roman"/>
          <w:sz w:val="24"/>
          <w:szCs w:val="24"/>
        </w:rPr>
      </w:pPr>
    </w:p>
    <w:p w14:paraId="48A33ABD" w14:textId="77777777" w:rsidR="001B06F8" w:rsidRPr="00081ED0" w:rsidRDefault="001B06F8" w:rsidP="002366A8">
      <w:pPr>
        <w:pStyle w:val="Corpodetexto"/>
        <w:numPr>
          <w:ilvl w:val="0"/>
          <w:numId w:val="21"/>
        </w:numPr>
        <w:ind w:left="1560"/>
        <w:rPr>
          <w:rFonts w:ascii="Times New Roman" w:hAnsi="Times New Roman"/>
          <w:sz w:val="24"/>
          <w:szCs w:val="24"/>
        </w:rPr>
      </w:pPr>
      <w:r w:rsidRPr="00081ED0">
        <w:rPr>
          <w:rFonts w:ascii="Times New Roman" w:hAnsi="Times New Roman"/>
          <w:sz w:val="24"/>
          <w:szCs w:val="24"/>
        </w:rPr>
        <w:t>O dispositivo constitucional é considerado autoaplicável no sentido de que estabelece um princípio claro e direto que deve ser observado por todos os legisladores e aplicadores da lei. No entanto, ele necessita de regulamentação infraconstitucional para definir os detalhes e a operacionalização da não-cumulatividade.</w:t>
      </w:r>
    </w:p>
    <w:p w14:paraId="39114DA3" w14:textId="77777777" w:rsidR="005D41BE" w:rsidRPr="00081ED0" w:rsidRDefault="005D41BE" w:rsidP="002366A8">
      <w:pPr>
        <w:pStyle w:val="Corpodetexto"/>
        <w:ind w:left="1560"/>
        <w:rPr>
          <w:rFonts w:ascii="Times New Roman" w:hAnsi="Times New Roman"/>
          <w:sz w:val="24"/>
          <w:szCs w:val="24"/>
        </w:rPr>
      </w:pPr>
    </w:p>
    <w:p w14:paraId="67DC2C0C" w14:textId="77777777" w:rsidR="001B06F8" w:rsidRPr="00081ED0" w:rsidRDefault="001B06F8" w:rsidP="002366A8">
      <w:pPr>
        <w:pStyle w:val="Corpodetexto"/>
        <w:numPr>
          <w:ilvl w:val="0"/>
          <w:numId w:val="21"/>
        </w:numPr>
        <w:ind w:left="1560"/>
        <w:rPr>
          <w:rFonts w:ascii="Times New Roman" w:hAnsi="Times New Roman"/>
          <w:sz w:val="24"/>
          <w:szCs w:val="24"/>
        </w:rPr>
      </w:pPr>
      <w:r w:rsidRPr="00081ED0">
        <w:rPr>
          <w:rFonts w:ascii="Times New Roman" w:hAnsi="Times New Roman"/>
          <w:sz w:val="24"/>
          <w:szCs w:val="24"/>
          <w:u w:val="single"/>
        </w:rPr>
        <w:t>Decisão do STJ (RMS 19176)</w:t>
      </w:r>
      <w:r w:rsidRPr="00081ED0">
        <w:rPr>
          <w:rFonts w:ascii="Times New Roman" w:hAnsi="Times New Roman"/>
          <w:sz w:val="24"/>
          <w:szCs w:val="24"/>
        </w:rPr>
        <w:t>: O STJ interpretou que o princípio da não-cumulatividade pode ser regulamentado pela legislação complementar, que tem a função de disciplinar a forma como o crédito do ICMS será aproveitado. A decisão do tribunal confirmou que as alterações introduzidas pela LC 102/2000, como o escalonamento do crédito e as restrições ao crédito de energia elétrica e serviços de telecomunicações, não violam o princípio constitucional da não-cumulatividade, pois estão dentro da competência do legislador infraconstitucional para regular esses aspectos.</w:t>
      </w:r>
    </w:p>
    <w:p w14:paraId="0492AD4B" w14:textId="77777777" w:rsidR="001B06F8" w:rsidRPr="00081ED0" w:rsidRDefault="001B06F8" w:rsidP="00081ED0">
      <w:pPr>
        <w:pStyle w:val="Corpodetexto"/>
        <w:rPr>
          <w:rFonts w:ascii="Times New Roman" w:hAnsi="Times New Roman"/>
          <w:sz w:val="24"/>
          <w:szCs w:val="24"/>
        </w:rPr>
      </w:pPr>
    </w:p>
    <w:p w14:paraId="0A0EBD10" w14:textId="77777777" w:rsidR="005D41BE" w:rsidRPr="00081ED0" w:rsidRDefault="005D41BE" w:rsidP="002366A8">
      <w:pPr>
        <w:pStyle w:val="Corpodetexto"/>
        <w:ind w:firstLine="567"/>
        <w:rPr>
          <w:rFonts w:ascii="Times New Roman" w:hAnsi="Times New Roman"/>
          <w:sz w:val="24"/>
          <w:szCs w:val="24"/>
        </w:rPr>
      </w:pPr>
      <w:r w:rsidRPr="00081ED0">
        <w:rPr>
          <w:rFonts w:ascii="Times New Roman" w:hAnsi="Times New Roman"/>
          <w:sz w:val="24"/>
          <w:szCs w:val="24"/>
        </w:rPr>
        <w:t>Portanto, em conclusão:</w:t>
      </w:r>
    </w:p>
    <w:p w14:paraId="7277C5BB" w14:textId="77777777" w:rsidR="005D41BE" w:rsidRPr="00081ED0" w:rsidRDefault="005D41BE" w:rsidP="00081ED0">
      <w:pPr>
        <w:pStyle w:val="Corpodetexto"/>
        <w:rPr>
          <w:rFonts w:ascii="Times New Roman" w:hAnsi="Times New Roman"/>
          <w:sz w:val="24"/>
          <w:szCs w:val="24"/>
        </w:rPr>
      </w:pPr>
    </w:p>
    <w:p w14:paraId="77E99C9A" w14:textId="77777777" w:rsidR="005D41BE" w:rsidRPr="00081ED0" w:rsidRDefault="005D41BE" w:rsidP="002366A8">
      <w:pPr>
        <w:pStyle w:val="Corpodetexto"/>
        <w:numPr>
          <w:ilvl w:val="0"/>
          <w:numId w:val="12"/>
        </w:numPr>
        <w:ind w:left="1560" w:hanging="426"/>
        <w:rPr>
          <w:rFonts w:ascii="Times New Roman" w:hAnsi="Times New Roman"/>
          <w:sz w:val="24"/>
          <w:szCs w:val="24"/>
        </w:rPr>
      </w:pPr>
      <w:r w:rsidRPr="00081ED0">
        <w:rPr>
          <w:rFonts w:ascii="Times New Roman" w:hAnsi="Times New Roman"/>
          <w:sz w:val="24"/>
          <w:szCs w:val="24"/>
          <w:u w:val="single"/>
        </w:rPr>
        <w:t>Observância do Princípio da Não-Cumulatividade</w:t>
      </w:r>
      <w:r w:rsidRPr="00081ED0">
        <w:rPr>
          <w:rFonts w:ascii="Times New Roman" w:hAnsi="Times New Roman"/>
          <w:sz w:val="24"/>
          <w:szCs w:val="24"/>
        </w:rPr>
        <w:t>: O princípio foi observado ao condicionar o aproveitamento do crédito do ativo a 1/48 ao mês e ao estabelecer restrições ao direito de crédito na aquisição de energia elétrica e serviços de telecomunicações, pois essas medidas estão dentro da competência legislativa para regulamentar a forma de aproveitamento dos créditos do ICMS.</w:t>
      </w:r>
    </w:p>
    <w:p w14:paraId="5829C1F2" w14:textId="77777777" w:rsidR="005D41BE" w:rsidRPr="00081ED0" w:rsidRDefault="005D41BE" w:rsidP="002366A8">
      <w:pPr>
        <w:pStyle w:val="Corpodetexto"/>
        <w:ind w:left="1560" w:hanging="426"/>
        <w:rPr>
          <w:rFonts w:ascii="Times New Roman" w:hAnsi="Times New Roman"/>
          <w:sz w:val="24"/>
          <w:szCs w:val="24"/>
        </w:rPr>
      </w:pPr>
    </w:p>
    <w:p w14:paraId="55024072" w14:textId="77777777" w:rsidR="005D41BE" w:rsidRPr="00081ED0" w:rsidRDefault="005D41BE" w:rsidP="002366A8">
      <w:pPr>
        <w:pStyle w:val="Corpodetexto"/>
        <w:numPr>
          <w:ilvl w:val="0"/>
          <w:numId w:val="12"/>
        </w:numPr>
        <w:ind w:left="1560" w:hanging="426"/>
        <w:rPr>
          <w:rFonts w:ascii="Times New Roman" w:hAnsi="Times New Roman"/>
          <w:sz w:val="24"/>
          <w:szCs w:val="24"/>
        </w:rPr>
      </w:pPr>
      <w:r w:rsidRPr="00081ED0">
        <w:rPr>
          <w:rFonts w:ascii="Times New Roman" w:hAnsi="Times New Roman"/>
          <w:sz w:val="24"/>
          <w:szCs w:val="24"/>
          <w:u w:val="single"/>
        </w:rPr>
        <w:t>Autoaplicabilidade do Art. 155, § 2º, inc. I da CF</w:t>
      </w:r>
      <w:r w:rsidRPr="00081ED0">
        <w:rPr>
          <w:rFonts w:ascii="Times New Roman" w:hAnsi="Times New Roman"/>
          <w:sz w:val="24"/>
          <w:szCs w:val="24"/>
        </w:rPr>
        <w:t>: O artigo é autoaplicável no sentido de estabelecer um princípio geral, mas sua operacionalização depende de regulamentação infraconstitucional. A decisão do STJ no RMS 19176 confirma que as regulamentações introduzidas pela LC 102/2000 são válidas e não violam o princípio da não-cumulatividade.</w:t>
      </w:r>
    </w:p>
    <w:p w14:paraId="526F45F5" w14:textId="77777777" w:rsidR="005D41BE" w:rsidRPr="00081ED0" w:rsidRDefault="005D41BE" w:rsidP="00081ED0">
      <w:pPr>
        <w:pStyle w:val="Corpodetexto"/>
        <w:rPr>
          <w:rFonts w:ascii="Times New Roman" w:hAnsi="Times New Roman"/>
          <w:sz w:val="24"/>
          <w:szCs w:val="24"/>
        </w:rPr>
      </w:pPr>
    </w:p>
    <w:p w14:paraId="11DB9B1A" w14:textId="77777777" w:rsidR="001B06F8" w:rsidRPr="00081ED0" w:rsidRDefault="001B06F8" w:rsidP="00081ED0">
      <w:pPr>
        <w:pStyle w:val="PargrafodaLista"/>
        <w:numPr>
          <w:ilvl w:val="0"/>
          <w:numId w:val="4"/>
        </w:numPr>
        <w:tabs>
          <w:tab w:val="left" w:pos="1022"/>
        </w:tabs>
        <w:ind w:left="426" w:right="3" w:hanging="426"/>
        <w:jc w:val="both"/>
        <w:rPr>
          <w:b/>
          <w:sz w:val="24"/>
          <w:szCs w:val="24"/>
        </w:rPr>
      </w:pPr>
      <w:r w:rsidRPr="00081ED0">
        <w:rPr>
          <w:b/>
          <w:sz w:val="24"/>
          <w:szCs w:val="24"/>
        </w:rPr>
        <w:lastRenderedPageBreak/>
        <w:t>A compensação dos créditos tributários prevista pelo art. 170 do CTN foi devidamente disciplinada pelo art. 74 da Lei 9.430/96, conferindo em seu § 5º o prazo de 5 anos para a homologação a compensação. Contudo, após a entrada em vigor em 01.01.2018 da Instrução Normativa nº 1.765/2017 (que incluiu o art. 161-A na IN 1.717/17), a Receita Federal condicionou a recepção dos pedidos de compensação de saldo negativo de IRPJ à prévia entrega da Escrituração Contábil Fiscal (ECF), cujo prazo se encerra apenas no último dia de julho. Pergunta-se: a condição imposta pela RFB por meio de Instrução Normativa ofende o princípio da legalidade? Justifique sua resposta e considere a sentença proferida no processo nº 5000448-24.2018.4.03.6114 abaixo:</w:t>
      </w:r>
    </w:p>
    <w:p w14:paraId="30D9F8C8" w14:textId="77777777" w:rsidR="001B06F8" w:rsidRPr="00081ED0" w:rsidRDefault="001B06F8" w:rsidP="00081ED0">
      <w:pPr>
        <w:tabs>
          <w:tab w:val="left" w:pos="1022"/>
        </w:tabs>
        <w:ind w:right="416"/>
        <w:jc w:val="both"/>
        <w:rPr>
          <w:sz w:val="24"/>
          <w:szCs w:val="24"/>
        </w:rPr>
      </w:pPr>
    </w:p>
    <w:p w14:paraId="3529DD4F" w14:textId="77777777" w:rsidR="001B06F8" w:rsidRPr="00081ED0" w:rsidRDefault="001B06F8" w:rsidP="00081ED0">
      <w:pPr>
        <w:tabs>
          <w:tab w:val="left" w:pos="1022"/>
        </w:tabs>
        <w:ind w:right="416"/>
        <w:jc w:val="both"/>
        <w:rPr>
          <w:sz w:val="24"/>
          <w:szCs w:val="24"/>
        </w:rPr>
      </w:pPr>
    </w:p>
    <w:p w14:paraId="221BF292" w14:textId="77777777" w:rsidR="001B06F8" w:rsidRPr="00081ED0" w:rsidRDefault="001B06F8" w:rsidP="00081ED0">
      <w:pPr>
        <w:ind w:right="3"/>
        <w:jc w:val="both"/>
        <w:rPr>
          <w:b/>
          <w:spacing w:val="-19"/>
          <w:w w:val="105"/>
          <w:sz w:val="24"/>
          <w:szCs w:val="24"/>
        </w:rPr>
      </w:pPr>
      <w:r w:rsidRPr="00081ED0">
        <w:rPr>
          <w:b/>
          <w:w w:val="105"/>
          <w:sz w:val="24"/>
          <w:szCs w:val="24"/>
        </w:rPr>
        <w:t>MANDADO</w:t>
      </w:r>
      <w:r w:rsidRPr="00081ED0">
        <w:rPr>
          <w:b/>
          <w:spacing w:val="-19"/>
          <w:w w:val="105"/>
          <w:sz w:val="24"/>
          <w:szCs w:val="24"/>
        </w:rPr>
        <w:t xml:space="preserve"> </w:t>
      </w:r>
      <w:r w:rsidRPr="00081ED0">
        <w:rPr>
          <w:b/>
          <w:w w:val="105"/>
          <w:sz w:val="24"/>
          <w:szCs w:val="24"/>
        </w:rPr>
        <w:t>DE</w:t>
      </w:r>
      <w:r w:rsidRPr="00081ED0">
        <w:rPr>
          <w:b/>
          <w:spacing w:val="-19"/>
          <w:w w:val="105"/>
          <w:sz w:val="24"/>
          <w:szCs w:val="24"/>
        </w:rPr>
        <w:t xml:space="preserve"> </w:t>
      </w:r>
      <w:r w:rsidRPr="00081ED0">
        <w:rPr>
          <w:b/>
          <w:w w:val="105"/>
          <w:sz w:val="24"/>
          <w:szCs w:val="24"/>
        </w:rPr>
        <w:t>SEGURANÇA</w:t>
      </w:r>
      <w:r w:rsidRPr="00081ED0">
        <w:rPr>
          <w:b/>
          <w:spacing w:val="-19"/>
          <w:w w:val="105"/>
          <w:sz w:val="24"/>
          <w:szCs w:val="24"/>
        </w:rPr>
        <w:t xml:space="preserve"> </w:t>
      </w:r>
      <w:r w:rsidRPr="00081ED0">
        <w:rPr>
          <w:b/>
          <w:w w:val="105"/>
          <w:sz w:val="24"/>
          <w:szCs w:val="24"/>
        </w:rPr>
        <w:t>(120)</w:t>
      </w:r>
      <w:r w:rsidRPr="00081ED0">
        <w:rPr>
          <w:b/>
          <w:spacing w:val="-19"/>
          <w:w w:val="105"/>
          <w:sz w:val="24"/>
          <w:szCs w:val="24"/>
        </w:rPr>
        <w:t xml:space="preserve"> </w:t>
      </w:r>
      <w:r w:rsidRPr="00081ED0">
        <w:rPr>
          <w:b/>
          <w:w w:val="105"/>
          <w:sz w:val="24"/>
          <w:szCs w:val="24"/>
        </w:rPr>
        <w:t>Nº</w:t>
      </w:r>
      <w:r w:rsidRPr="00081ED0">
        <w:rPr>
          <w:b/>
          <w:spacing w:val="-18"/>
          <w:w w:val="105"/>
          <w:sz w:val="24"/>
          <w:szCs w:val="24"/>
        </w:rPr>
        <w:t xml:space="preserve"> </w:t>
      </w:r>
      <w:r w:rsidRPr="00081ED0">
        <w:rPr>
          <w:b/>
          <w:w w:val="105"/>
          <w:sz w:val="24"/>
          <w:szCs w:val="24"/>
        </w:rPr>
        <w:t>5000448-24.2018.4.03.6114</w:t>
      </w:r>
    </w:p>
    <w:p w14:paraId="2535A0D5" w14:textId="77777777" w:rsidR="001B06F8" w:rsidRPr="00081ED0" w:rsidRDefault="001B06F8" w:rsidP="00081ED0">
      <w:pPr>
        <w:ind w:right="3"/>
        <w:jc w:val="both"/>
        <w:rPr>
          <w:b/>
          <w:w w:val="105"/>
          <w:sz w:val="24"/>
          <w:szCs w:val="24"/>
        </w:rPr>
      </w:pPr>
      <w:r w:rsidRPr="00081ED0">
        <w:rPr>
          <w:b/>
          <w:w w:val="105"/>
          <w:sz w:val="24"/>
          <w:szCs w:val="24"/>
        </w:rPr>
        <w:t>1ª</w:t>
      </w:r>
      <w:r w:rsidRPr="00081ED0">
        <w:rPr>
          <w:b/>
          <w:spacing w:val="-19"/>
          <w:w w:val="105"/>
          <w:sz w:val="24"/>
          <w:szCs w:val="24"/>
        </w:rPr>
        <w:t xml:space="preserve"> </w:t>
      </w:r>
      <w:r w:rsidRPr="00081ED0">
        <w:rPr>
          <w:b/>
          <w:spacing w:val="-4"/>
          <w:w w:val="105"/>
          <w:sz w:val="24"/>
          <w:szCs w:val="24"/>
        </w:rPr>
        <w:t>Vara</w:t>
      </w:r>
      <w:r w:rsidRPr="00081ED0">
        <w:rPr>
          <w:b/>
          <w:spacing w:val="-18"/>
          <w:w w:val="105"/>
          <w:sz w:val="24"/>
          <w:szCs w:val="24"/>
        </w:rPr>
        <w:t xml:space="preserve"> </w:t>
      </w:r>
      <w:r w:rsidRPr="00081ED0">
        <w:rPr>
          <w:b/>
          <w:w w:val="105"/>
          <w:sz w:val="24"/>
          <w:szCs w:val="24"/>
        </w:rPr>
        <w:t>Federal</w:t>
      </w:r>
      <w:r w:rsidRPr="00081ED0">
        <w:rPr>
          <w:b/>
          <w:spacing w:val="-19"/>
          <w:w w:val="105"/>
          <w:sz w:val="24"/>
          <w:szCs w:val="24"/>
        </w:rPr>
        <w:t xml:space="preserve"> </w:t>
      </w:r>
      <w:r w:rsidRPr="00081ED0">
        <w:rPr>
          <w:b/>
          <w:w w:val="105"/>
          <w:sz w:val="24"/>
          <w:szCs w:val="24"/>
        </w:rPr>
        <w:t>de</w:t>
      </w:r>
      <w:r w:rsidRPr="00081ED0">
        <w:rPr>
          <w:b/>
          <w:spacing w:val="-19"/>
          <w:w w:val="105"/>
          <w:sz w:val="24"/>
          <w:szCs w:val="24"/>
        </w:rPr>
        <w:t xml:space="preserve"> </w:t>
      </w:r>
      <w:r w:rsidRPr="00081ED0">
        <w:rPr>
          <w:b/>
          <w:w w:val="105"/>
          <w:sz w:val="24"/>
          <w:szCs w:val="24"/>
        </w:rPr>
        <w:t>São</w:t>
      </w:r>
      <w:r w:rsidRPr="00081ED0">
        <w:rPr>
          <w:b/>
          <w:spacing w:val="-19"/>
          <w:w w:val="105"/>
          <w:sz w:val="24"/>
          <w:szCs w:val="24"/>
        </w:rPr>
        <w:t xml:space="preserve"> </w:t>
      </w:r>
      <w:r w:rsidRPr="00081ED0">
        <w:rPr>
          <w:b/>
          <w:w w:val="105"/>
          <w:sz w:val="24"/>
          <w:szCs w:val="24"/>
        </w:rPr>
        <w:t>Bernardo</w:t>
      </w:r>
      <w:r w:rsidRPr="00081ED0">
        <w:rPr>
          <w:b/>
          <w:spacing w:val="-18"/>
          <w:w w:val="105"/>
          <w:sz w:val="24"/>
          <w:szCs w:val="24"/>
        </w:rPr>
        <w:t xml:space="preserve"> </w:t>
      </w:r>
      <w:r w:rsidRPr="00081ED0">
        <w:rPr>
          <w:b/>
          <w:w w:val="105"/>
          <w:sz w:val="24"/>
          <w:szCs w:val="24"/>
        </w:rPr>
        <w:t>do</w:t>
      </w:r>
      <w:r w:rsidRPr="00081ED0">
        <w:rPr>
          <w:b/>
          <w:spacing w:val="-19"/>
          <w:w w:val="105"/>
          <w:sz w:val="24"/>
          <w:szCs w:val="24"/>
        </w:rPr>
        <w:t xml:space="preserve"> </w:t>
      </w:r>
      <w:r w:rsidRPr="00081ED0">
        <w:rPr>
          <w:b/>
          <w:w w:val="105"/>
          <w:sz w:val="24"/>
          <w:szCs w:val="24"/>
        </w:rPr>
        <w:t xml:space="preserve">Campo </w:t>
      </w:r>
    </w:p>
    <w:p w14:paraId="1567E466" w14:textId="77777777" w:rsidR="001B06F8" w:rsidRPr="00081ED0" w:rsidRDefault="001B06F8" w:rsidP="00081ED0">
      <w:pPr>
        <w:ind w:right="3"/>
        <w:jc w:val="both"/>
        <w:rPr>
          <w:b/>
          <w:spacing w:val="-5"/>
          <w:w w:val="105"/>
          <w:sz w:val="24"/>
          <w:szCs w:val="24"/>
        </w:rPr>
      </w:pPr>
      <w:r w:rsidRPr="00081ED0">
        <w:rPr>
          <w:b/>
          <w:w w:val="105"/>
          <w:sz w:val="24"/>
          <w:szCs w:val="24"/>
        </w:rPr>
        <w:t>IMPETRANTE:</w:t>
      </w:r>
      <w:r w:rsidRPr="00081ED0">
        <w:rPr>
          <w:b/>
          <w:spacing w:val="-8"/>
          <w:w w:val="105"/>
          <w:sz w:val="24"/>
          <w:szCs w:val="24"/>
        </w:rPr>
        <w:t xml:space="preserve"> </w:t>
      </w:r>
      <w:r w:rsidRPr="00081ED0">
        <w:rPr>
          <w:b/>
          <w:w w:val="105"/>
          <w:sz w:val="24"/>
          <w:szCs w:val="24"/>
        </w:rPr>
        <w:t>VOLKSWAGEN</w:t>
      </w:r>
      <w:r w:rsidRPr="00081ED0">
        <w:rPr>
          <w:b/>
          <w:spacing w:val="-7"/>
          <w:w w:val="105"/>
          <w:sz w:val="24"/>
          <w:szCs w:val="24"/>
        </w:rPr>
        <w:t xml:space="preserve"> </w:t>
      </w:r>
      <w:r w:rsidRPr="00081ED0">
        <w:rPr>
          <w:b/>
          <w:w w:val="105"/>
          <w:sz w:val="24"/>
          <w:szCs w:val="24"/>
        </w:rPr>
        <w:t>DO</w:t>
      </w:r>
      <w:r w:rsidRPr="00081ED0">
        <w:rPr>
          <w:b/>
          <w:spacing w:val="-7"/>
          <w:w w:val="105"/>
          <w:sz w:val="24"/>
          <w:szCs w:val="24"/>
        </w:rPr>
        <w:t xml:space="preserve"> </w:t>
      </w:r>
      <w:r w:rsidRPr="00081ED0">
        <w:rPr>
          <w:b/>
          <w:w w:val="105"/>
          <w:sz w:val="24"/>
          <w:szCs w:val="24"/>
        </w:rPr>
        <w:t>BRASIL INDUSTRIA</w:t>
      </w:r>
      <w:r w:rsidRPr="00081ED0">
        <w:rPr>
          <w:b/>
          <w:spacing w:val="-7"/>
          <w:w w:val="105"/>
          <w:sz w:val="24"/>
          <w:szCs w:val="24"/>
        </w:rPr>
        <w:t xml:space="preserve"> </w:t>
      </w:r>
      <w:r w:rsidRPr="00081ED0">
        <w:rPr>
          <w:b/>
          <w:w w:val="105"/>
          <w:sz w:val="24"/>
          <w:szCs w:val="24"/>
        </w:rPr>
        <w:t>DE</w:t>
      </w:r>
      <w:r w:rsidRPr="00081ED0">
        <w:rPr>
          <w:b/>
          <w:spacing w:val="-7"/>
          <w:w w:val="105"/>
          <w:sz w:val="24"/>
          <w:szCs w:val="24"/>
        </w:rPr>
        <w:t xml:space="preserve"> </w:t>
      </w:r>
      <w:r w:rsidRPr="00081ED0">
        <w:rPr>
          <w:b/>
          <w:w w:val="105"/>
          <w:sz w:val="24"/>
          <w:szCs w:val="24"/>
        </w:rPr>
        <w:t>VEICULOS</w:t>
      </w:r>
      <w:r w:rsidRPr="00081ED0">
        <w:rPr>
          <w:b/>
          <w:spacing w:val="-7"/>
          <w:w w:val="105"/>
          <w:sz w:val="24"/>
          <w:szCs w:val="24"/>
        </w:rPr>
        <w:t xml:space="preserve"> </w:t>
      </w:r>
      <w:r w:rsidRPr="00081ED0">
        <w:rPr>
          <w:b/>
          <w:w w:val="105"/>
          <w:sz w:val="24"/>
          <w:szCs w:val="24"/>
        </w:rPr>
        <w:t>AUTOMOTORES</w:t>
      </w:r>
      <w:r w:rsidRPr="00081ED0">
        <w:rPr>
          <w:b/>
          <w:spacing w:val="-8"/>
          <w:w w:val="105"/>
          <w:sz w:val="24"/>
          <w:szCs w:val="24"/>
        </w:rPr>
        <w:t xml:space="preserve"> </w:t>
      </w:r>
      <w:r w:rsidRPr="00081ED0">
        <w:rPr>
          <w:b/>
          <w:spacing w:val="-5"/>
          <w:w w:val="105"/>
          <w:sz w:val="24"/>
          <w:szCs w:val="24"/>
        </w:rPr>
        <w:t>LTDA</w:t>
      </w:r>
    </w:p>
    <w:p w14:paraId="4DB1C870" w14:textId="77777777" w:rsidR="001B06F8" w:rsidRPr="00081ED0" w:rsidRDefault="001B06F8" w:rsidP="00081ED0">
      <w:pPr>
        <w:ind w:right="3494"/>
        <w:jc w:val="both"/>
        <w:rPr>
          <w:b/>
          <w:spacing w:val="-5"/>
          <w:w w:val="105"/>
          <w:sz w:val="24"/>
          <w:szCs w:val="24"/>
        </w:rPr>
      </w:pPr>
    </w:p>
    <w:p w14:paraId="3863510C" w14:textId="77777777" w:rsidR="001B06F8" w:rsidRPr="00081ED0" w:rsidRDefault="001B06F8" w:rsidP="00081ED0">
      <w:pPr>
        <w:ind w:right="3494"/>
        <w:jc w:val="both"/>
        <w:rPr>
          <w:b/>
          <w:sz w:val="24"/>
          <w:szCs w:val="24"/>
        </w:rPr>
      </w:pPr>
      <w:r w:rsidRPr="00081ED0">
        <w:rPr>
          <w:b/>
          <w:sz w:val="24"/>
          <w:szCs w:val="24"/>
        </w:rPr>
        <w:t>Sentença</w:t>
      </w:r>
    </w:p>
    <w:p w14:paraId="55290376" w14:textId="77777777" w:rsidR="001B06F8" w:rsidRPr="00081ED0" w:rsidRDefault="001B06F8" w:rsidP="00081ED0">
      <w:pPr>
        <w:ind w:right="3494"/>
        <w:jc w:val="both"/>
        <w:rPr>
          <w:b/>
          <w:sz w:val="24"/>
          <w:szCs w:val="24"/>
        </w:rPr>
      </w:pPr>
    </w:p>
    <w:p w14:paraId="2176B85C" w14:textId="77777777" w:rsidR="001B06F8" w:rsidRPr="00081ED0" w:rsidRDefault="001B06F8" w:rsidP="00081ED0">
      <w:pPr>
        <w:pStyle w:val="Corpodetexto"/>
        <w:ind w:right="102"/>
        <w:rPr>
          <w:rFonts w:ascii="Times New Roman" w:hAnsi="Times New Roman"/>
          <w:b/>
          <w:sz w:val="24"/>
          <w:szCs w:val="24"/>
        </w:rPr>
      </w:pPr>
      <w:r w:rsidRPr="00081ED0">
        <w:rPr>
          <w:rFonts w:ascii="Times New Roman" w:hAnsi="Times New Roman"/>
          <w:b/>
          <w:sz w:val="24"/>
          <w:szCs w:val="24"/>
        </w:rPr>
        <w:t>VOLKSWAGEN DO BRASIL INDÚSTRIA DE VEÍCULOS AUTOMOTORES LTDA., qualificada nos autos, impetrou o presente mandado de segurança em face do DELEGADO DA RECEITA FEDERAL DO BRASIL EM SÃO BERNARDO DO CAMPO/SP, objetivando sejam seus PER/</w:t>
      </w:r>
      <w:proofErr w:type="spellStart"/>
      <w:r w:rsidRPr="00081ED0">
        <w:rPr>
          <w:rFonts w:ascii="Times New Roman" w:hAnsi="Times New Roman"/>
          <w:b/>
          <w:sz w:val="24"/>
          <w:szCs w:val="24"/>
        </w:rPr>
        <w:t>DCOMPs</w:t>
      </w:r>
      <w:proofErr w:type="spellEnd"/>
      <w:r w:rsidRPr="00081ED0">
        <w:rPr>
          <w:rFonts w:ascii="Times New Roman" w:hAnsi="Times New Roman"/>
          <w:b/>
          <w:sz w:val="24"/>
          <w:szCs w:val="24"/>
        </w:rPr>
        <w:t>, que utilizem crédito oriundo de saldos negativos de IRPJ e CSLL apurados no decorrer de 2017, devidamente recepcionados, independentemente da entrega prévia da Escrituração Contábil Fiscal - ECF, na forma exigida pela IN RFB nº 1.765/2017, com a consequente análise do direito creditório informado, abrindo, em caso de não homologação, a possibilidade de apresentação de manifestação de inconformidade e os demais recursos previstos no artigo 74 da Lei nº 9.430/1996 e no Decreto nº 70.235/1972, abstendo-se a Autoridade Impetrada da tomada de qualquer medida violadora desse direito.</w:t>
      </w:r>
    </w:p>
    <w:p w14:paraId="628B69E0" w14:textId="77777777" w:rsidR="001B06F8" w:rsidRPr="00081ED0" w:rsidRDefault="001B06F8" w:rsidP="00081ED0">
      <w:pPr>
        <w:pStyle w:val="Corpodetexto"/>
        <w:ind w:right="100"/>
        <w:rPr>
          <w:rFonts w:ascii="Times New Roman" w:hAnsi="Times New Roman"/>
          <w:b/>
          <w:sz w:val="24"/>
          <w:szCs w:val="24"/>
        </w:rPr>
      </w:pPr>
      <w:r w:rsidRPr="00081ED0">
        <w:rPr>
          <w:rFonts w:ascii="Times New Roman" w:hAnsi="Times New Roman"/>
          <w:b/>
          <w:sz w:val="24"/>
          <w:szCs w:val="24"/>
        </w:rPr>
        <w:t>Aduz a impetrante ser uma sociedade limitada voltada a fabricação, o comércio, a importação e a exportação de veículos automotores, veículos e aparelhos de locomoção ou de transporte, por terra, água e ar, motores e máquinas e ferramentas, peças, componentes, acessórios, implementos e equipamentos e a prestação de serviços relacionados com as suas atividades industriais e operacionais.</w:t>
      </w:r>
    </w:p>
    <w:p w14:paraId="1969A905" w14:textId="77777777" w:rsidR="001B06F8" w:rsidRPr="00081ED0" w:rsidRDefault="001B06F8" w:rsidP="00081ED0">
      <w:pPr>
        <w:pStyle w:val="Corpodetexto"/>
        <w:ind w:right="101"/>
        <w:rPr>
          <w:rFonts w:ascii="Times New Roman" w:hAnsi="Times New Roman"/>
          <w:b/>
          <w:sz w:val="24"/>
          <w:szCs w:val="24"/>
        </w:rPr>
      </w:pPr>
      <w:r w:rsidRPr="00081ED0">
        <w:rPr>
          <w:rFonts w:ascii="Times New Roman" w:hAnsi="Times New Roman"/>
          <w:b/>
          <w:sz w:val="24"/>
          <w:szCs w:val="24"/>
        </w:rPr>
        <w:t>Em razão de suas atividades está sujeita ao recolhimento de diversos tributos e contribuições, dentre os quais o Imposto de Renda da Pessoa Jurídica (“IRPJ”), a Contribuição Social sobre o Lucro Líquido (“CSLL”) e as contribuições sociais ao PIS e a COFINS. Em relação aos dois primeiros, sua apuração se dá na sistemática do lucro real anual sendo comum a geração de crédito de saldo negativo. Verificada a existência do crédito é permitido ao contribuinte utilizá-lo para quitar débitos federais apurados já no período subsequente, por meio do programa de compensação PER/DCOMP.</w:t>
      </w:r>
    </w:p>
    <w:p w14:paraId="0585D4D9"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Ocorre, no entanto, que, no intuito de “regulamentar” o procedimento de compensação, a Receita Federal do Brasil (“RFB”) publicou, em 04 de dezembro de 2017, a Instrução Normativa nº 1.765/2017, que passou a exigir dos contribuintes a confirmação de entrega da denominada Escrituração Contábil Fiscal – ECF previamente à transmissão dos seus respectivos PER/</w:t>
      </w:r>
      <w:proofErr w:type="spellStart"/>
      <w:r w:rsidRPr="00081ED0">
        <w:rPr>
          <w:rFonts w:ascii="Times New Roman" w:hAnsi="Times New Roman"/>
          <w:b/>
          <w:sz w:val="24"/>
          <w:szCs w:val="24"/>
        </w:rPr>
        <w:t>DCOMPs</w:t>
      </w:r>
      <w:proofErr w:type="spellEnd"/>
      <w:r w:rsidRPr="00081ED0">
        <w:rPr>
          <w:rFonts w:ascii="Times New Roman" w:hAnsi="Times New Roman"/>
          <w:b/>
          <w:sz w:val="24"/>
          <w:szCs w:val="24"/>
        </w:rPr>
        <w:t xml:space="preserve">. Ou seja, a </w:t>
      </w:r>
      <w:r w:rsidRPr="00081ED0">
        <w:rPr>
          <w:rFonts w:ascii="Times New Roman" w:hAnsi="Times New Roman"/>
          <w:b/>
          <w:sz w:val="24"/>
          <w:szCs w:val="24"/>
        </w:rPr>
        <w:lastRenderedPageBreak/>
        <w:t>confirmação de entrega da ECF passou a ser uma condição para que os PER/</w:t>
      </w:r>
      <w:proofErr w:type="spellStart"/>
      <w:r w:rsidRPr="00081ED0">
        <w:rPr>
          <w:rFonts w:ascii="Times New Roman" w:hAnsi="Times New Roman"/>
          <w:b/>
          <w:sz w:val="24"/>
          <w:szCs w:val="24"/>
        </w:rPr>
        <w:t>DCOMPs</w:t>
      </w:r>
      <w:proofErr w:type="spellEnd"/>
      <w:r w:rsidRPr="00081ED0">
        <w:rPr>
          <w:rFonts w:ascii="Times New Roman" w:hAnsi="Times New Roman"/>
          <w:b/>
          <w:sz w:val="24"/>
          <w:szCs w:val="24"/>
        </w:rPr>
        <w:t xml:space="preserve"> fossem devidamente recepcionados.</w:t>
      </w:r>
    </w:p>
    <w:p w14:paraId="7A434CDD" w14:textId="77777777" w:rsidR="001B06F8" w:rsidRPr="00081ED0" w:rsidRDefault="001B06F8" w:rsidP="00081ED0">
      <w:pPr>
        <w:pStyle w:val="Corpodetexto"/>
        <w:ind w:right="101"/>
        <w:rPr>
          <w:rFonts w:ascii="Times New Roman" w:hAnsi="Times New Roman"/>
          <w:b/>
          <w:sz w:val="24"/>
          <w:szCs w:val="24"/>
        </w:rPr>
      </w:pPr>
      <w:r w:rsidRPr="00081ED0">
        <w:rPr>
          <w:rFonts w:ascii="Times New Roman" w:hAnsi="Times New Roman"/>
          <w:b/>
          <w:sz w:val="24"/>
          <w:szCs w:val="24"/>
        </w:rPr>
        <w:t>Assim, embora a Impetrante tenha saldo negativo de IRPJ e CSLL relativo ao ano-calendário de 2017 e pretenda utilizar tal saldo para quitar débitos de tributos federais que vencerão nos meses de fevereiro, março, abril, maio, junho e julho, fato é que, por conta do disposto no artigo 161-A da IN RFB nº 1.765/20175, a empresa está sendo vedada de exercer esse direito até que transmita a sua ECF, cujo prazo fatal de entrega se encerra no último dia do mês de julho do ano subsequente ao da apuração a que se refira.</w:t>
      </w:r>
    </w:p>
    <w:p w14:paraId="02E8B7CB"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Alegando inconstitucionalidades e ilegalidades da exigência supramencionada, requer a concessão da ordem. Juntou documentos.</w:t>
      </w:r>
    </w:p>
    <w:p w14:paraId="34DFA3D0"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A análise do pedido de liminar foi postergada para depois da vinda das informações. Parecer do Ministério Público Federal, opinando pelo prosseguimento do feito.</w:t>
      </w:r>
    </w:p>
    <w:p w14:paraId="029C3DD5"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Notificada, a autoridade impetrada prestou informações, requerendo seja denegada a segurança. Vieram os autos conclusos.</w:t>
      </w:r>
    </w:p>
    <w:p w14:paraId="3EFCC1A3"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É o relatório.</w:t>
      </w:r>
    </w:p>
    <w:p w14:paraId="019D58F9"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DECIDO.</w:t>
      </w:r>
    </w:p>
    <w:p w14:paraId="0C6AE8E8"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A questão resume-se a fixar a legalidade de o Fisco exigir a apresentação de, como condição à transmissão da declaração de compensação, informes transmitidos por programa eletrônico, nomeados PER/DCOMPS, que servem à compensação tributária entre saldos negativos de IRPJ e CSLL, entre outros, com débitos tributários correntes, todos administrados pela Receita Federal do Brasil.</w:t>
      </w:r>
    </w:p>
    <w:p w14:paraId="7C75B258"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A regulamentação legal da compensação tributária se dá conforme a lei n. 9.430/96.</w:t>
      </w:r>
    </w:p>
    <w:p w14:paraId="4A47C9CD"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Sob outro giro a impetrante, segundo o regime de apuração contábil ao qual se adequa, tem obrigação acessória de apresentar Escrituração Contábil Fiscal - ECF, cujo prazo se encontra regulamentado nos termos da IN RFB n. 1422/2013, encerrando-se no último dia útil de julho do ano seguinte ao ano- calendário a que se refere.</w:t>
      </w:r>
    </w:p>
    <w:p w14:paraId="3F158807"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 xml:space="preserve">Somando-se a esse cenário em que figura o direito da impetrante, em tese, à compensação segundo os ditames da lei n. 9.430/96, e da obrigação acessória consubstanciada na apresentação da ECF conforme disciplinado pela IN RFB n. 1422/2013, na esteira do relatório acima exposto, sobreveio a IN RFB n. 1.765/2017, ato contra o qual se volta a impetrante neste </w:t>
      </w:r>
      <w:proofErr w:type="spellStart"/>
      <w:r w:rsidRPr="00081ED0">
        <w:rPr>
          <w:rFonts w:ascii="Times New Roman" w:hAnsi="Times New Roman"/>
          <w:b/>
          <w:sz w:val="24"/>
          <w:szCs w:val="24"/>
        </w:rPr>
        <w:t>mandamus</w:t>
      </w:r>
      <w:proofErr w:type="spellEnd"/>
      <w:r w:rsidRPr="00081ED0">
        <w:rPr>
          <w:rFonts w:ascii="Times New Roman" w:hAnsi="Times New Roman"/>
          <w:b/>
          <w:sz w:val="24"/>
          <w:szCs w:val="24"/>
        </w:rPr>
        <w:t>, e que condiciona a transmissão da declaração de compensação à previa apresentação da ECF, ainda que não findado o prazo para cumprir esta última obrigação acessória.</w:t>
      </w:r>
    </w:p>
    <w:p w14:paraId="3810441E"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A lei n. 9.430/96, no art. 7o., parágrafo 2o., dispõe que "havendo saldo de imposto pago a maior, a pessoa jurídica poderá compensá-lo com o imposto devido, correspondente aos períodos de apuração subsequentes, facultado o pedido de restituição".</w:t>
      </w:r>
    </w:p>
    <w:p w14:paraId="631208FD"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O ato administrativo aqui discutido não vai de encontro ao referido dispositivo legal, já que não obsta à fruição dos créditos, todavia condiciona essa fruição ao cumprimento de obrigação acessória em prazo antecipado, reservando ao contribuinte com direito a crédito situação particularizada e discriminatória</w:t>
      </w:r>
    </w:p>
    <w:p w14:paraId="45EFC6CC" w14:textId="77777777" w:rsidR="001B06F8" w:rsidRPr="00081ED0" w:rsidRDefault="001B06F8" w:rsidP="00081ED0">
      <w:pPr>
        <w:pStyle w:val="Corpodetexto"/>
        <w:ind w:right="109"/>
        <w:rPr>
          <w:rFonts w:ascii="Times New Roman" w:hAnsi="Times New Roman"/>
          <w:b/>
          <w:sz w:val="24"/>
          <w:szCs w:val="24"/>
        </w:rPr>
      </w:pPr>
      <w:proofErr w:type="spellStart"/>
      <w:r w:rsidRPr="00081ED0">
        <w:rPr>
          <w:rFonts w:ascii="Times New Roman" w:hAnsi="Times New Roman"/>
          <w:b/>
          <w:sz w:val="24"/>
          <w:szCs w:val="24"/>
        </w:rPr>
        <w:t>eja</w:t>
      </w:r>
      <w:proofErr w:type="spellEnd"/>
      <w:r w:rsidRPr="00081ED0">
        <w:rPr>
          <w:rFonts w:ascii="Times New Roman" w:hAnsi="Times New Roman"/>
          <w:b/>
          <w:sz w:val="24"/>
          <w:szCs w:val="24"/>
        </w:rPr>
        <w:t xml:space="preserve"> que se esperava obter por meio das informações prestadas pela D. autoridade uma justificativa plausível para tal discriminação, e mesmo explanação que defendesse a IN RFB 1.765/2017 sob o ponto de vista de sua viabilidade tanto para que fosse atendida pelo Contribuinte, como a necessidade de sua observância para o bem desempenho da atividade administrativa e fiscal.</w:t>
      </w:r>
    </w:p>
    <w:p w14:paraId="1AAA67BD"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lastRenderedPageBreak/>
        <w:t xml:space="preserve">Entretanto, nas informações prestadas pela D. autoridade, não há justificativa razoável para o </w:t>
      </w:r>
      <w:proofErr w:type="spellStart"/>
      <w:r w:rsidRPr="00081ED0">
        <w:rPr>
          <w:rFonts w:ascii="Times New Roman" w:hAnsi="Times New Roman"/>
          <w:b/>
          <w:sz w:val="24"/>
          <w:szCs w:val="24"/>
        </w:rPr>
        <w:t>discrimen</w:t>
      </w:r>
      <w:proofErr w:type="spellEnd"/>
      <w:r w:rsidRPr="00081ED0">
        <w:rPr>
          <w:rFonts w:ascii="Times New Roman" w:hAnsi="Times New Roman"/>
          <w:b/>
          <w:sz w:val="24"/>
          <w:szCs w:val="24"/>
        </w:rPr>
        <w:t xml:space="preserve"> que colhe os contribuintes que dispõem de créditos a compensar e aqueles que não apresentam crédito dessa natureza, já que os primeiros, em última análise, ficariam tolhidos do direito ao prazo que é concedido aos demais como interregno ao cumprimento da obrigação acessória relativa à apresentação de ECF.</w:t>
      </w:r>
    </w:p>
    <w:p w14:paraId="165A7928"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Nas mesmas informações não se constata razoabilidade que explique a alteração das regras administrativas até então aplicadas, as quais possibilitavam a compensação de créditos tributários e a apresentação da ECF no prazo disciplinado pela IN RFB n. 1.422/2013, aparentemente sem qualquer dissenso entre Fisco e contribuinte, mesmo porque nada em contrário a isso é dito nas referidas informações, as quais se resumem a descrever a distinção entre obrigação tributária principal e a acessória.</w:t>
      </w:r>
    </w:p>
    <w:p w14:paraId="27E6AF8D"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Desse modo, a instrução normativa sob debate padece de ilegalidade, esta concernente ao trespasse do princípio da razoabilidade, na medida em que cria obstáculos ao direito à compensação tributária, sem lastro legal, e discrimina, dentre o universo de contribuintes, aqueles que têm e os que não têm créditos a compensar, dispondo, diferentemente, em decorrência dessa condição estabelecida pela IN RFB 1.765/2017, sobre o prazo regulamentar para apresentação de ECF, na medida em que os que dispõem de crédito a compensar são compelidos a cumprir sua obrigação acessória de pronto, como condição ao exercício do direito à compensação, enquanto os demais são instados a tanto segundo o prazo previsto na IN RFB. 1.422/2013.</w:t>
      </w:r>
    </w:p>
    <w:p w14:paraId="57E97AA7"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Por tais razões, JULGO PROCEDENTE o pedido e concedo a segurança para o fim de reconhecer como direito da impetrante o de transmitir e ter como aceitos os PER/</w:t>
      </w:r>
      <w:proofErr w:type="spellStart"/>
      <w:r w:rsidRPr="00081ED0">
        <w:rPr>
          <w:rFonts w:ascii="Times New Roman" w:hAnsi="Times New Roman"/>
          <w:b/>
          <w:sz w:val="24"/>
          <w:szCs w:val="24"/>
        </w:rPr>
        <w:t>DCOMPs</w:t>
      </w:r>
      <w:proofErr w:type="spellEnd"/>
      <w:r w:rsidRPr="00081ED0">
        <w:rPr>
          <w:rFonts w:ascii="Times New Roman" w:hAnsi="Times New Roman"/>
          <w:b/>
          <w:sz w:val="24"/>
          <w:szCs w:val="24"/>
        </w:rPr>
        <w:t xml:space="preserve"> utilizando crédito originado de saldo negativo de IRPJ e CSLL apurados a partir de 2017, sem que para tanto seja exigida a entrega da ECF, restando, pois, afastados os comandos da IN RFB n. 1765/2017 na parte em que colide com o direito reconhecido nesta impetração. Fica consignado que o alcance desta decisão limita-se a reconhecer o direito da impetrante de ser admitida e submetida aos devidos trâmites administrativos concernentes ao exercício do direito à compensação de créditos tributários independentemente de prévia apresentação da ECF, sem que com isso se reconheça o direito de fundo a tais créditos, ou que se imponha em desfavor do Fisco qualquer obstáculo à verificação e/ou exigência regulamentar ao exercício desse direito,</w:t>
      </w:r>
      <w:r w:rsidRPr="00081ED0">
        <w:rPr>
          <w:rFonts w:ascii="Times New Roman" w:eastAsia="Courier New" w:hAnsi="Times New Roman"/>
          <w:b/>
          <w:sz w:val="24"/>
          <w:szCs w:val="24"/>
        </w:rPr>
        <w:t xml:space="preserve"> re</w:t>
      </w:r>
      <w:r w:rsidRPr="00081ED0">
        <w:rPr>
          <w:rFonts w:ascii="Times New Roman" w:hAnsi="Times New Roman"/>
          <w:b/>
          <w:sz w:val="24"/>
          <w:szCs w:val="24"/>
        </w:rPr>
        <w:t>ssalvados tão-só os comandos da IN RFB n. 1765/2017 no pertinente à apresentação de ECF como condição à transmissão dos PER/</w:t>
      </w:r>
      <w:proofErr w:type="spellStart"/>
      <w:r w:rsidRPr="00081ED0">
        <w:rPr>
          <w:rFonts w:ascii="Times New Roman" w:hAnsi="Times New Roman"/>
          <w:b/>
          <w:sz w:val="24"/>
          <w:szCs w:val="24"/>
        </w:rPr>
        <w:t>DCOMPs</w:t>
      </w:r>
      <w:proofErr w:type="spellEnd"/>
    </w:p>
    <w:p w14:paraId="33134EFB"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Quanto ao pedido de reconhecimento liminar do direito aduzido pela impetrante, insta observar que não se olvida do disposto no art. 7o., parágrafo segundo da lei n. 12.016/2009.</w:t>
      </w:r>
    </w:p>
    <w:p w14:paraId="06C9C5C2"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Todavia o objeto desta ação mandamental não toca ao dissenso quanto ao direito à compensação a que se arroga a impetrante, mas antes ao debate quanto à legalidade da exigência de prévia apresentação da ECF como condição a que a impetrante seja admitida e submetida aos devidos trâmites administrativos concernentes ao exercício desse direito ainda naquela esfera.</w:t>
      </w:r>
    </w:p>
    <w:p w14:paraId="05B45D66"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 xml:space="preserve">E, considerando que foi constatado fundamento relevante, relativo à aparente ilegalidade do ato objeto da impetração, e tendo em vista que dele pode advir resultado de ineficácia da medida, relativo à continuidade de </w:t>
      </w:r>
      <w:proofErr w:type="spellStart"/>
      <w:r w:rsidRPr="00081ED0">
        <w:rPr>
          <w:rFonts w:ascii="Times New Roman" w:hAnsi="Times New Roman"/>
          <w:b/>
          <w:sz w:val="24"/>
          <w:szCs w:val="24"/>
        </w:rPr>
        <w:t>obstaculização</w:t>
      </w:r>
      <w:proofErr w:type="spellEnd"/>
      <w:r w:rsidRPr="00081ED0">
        <w:rPr>
          <w:rFonts w:ascii="Times New Roman" w:hAnsi="Times New Roman"/>
          <w:b/>
          <w:sz w:val="24"/>
          <w:szCs w:val="24"/>
        </w:rPr>
        <w:t xml:space="preserve"> do direito à tramitação administrativa da pretensão de compensação tributária, a sentença deve ser pronta e provisoriamente executada, conforme autoriza o </w:t>
      </w:r>
      <w:r w:rsidRPr="00081ED0">
        <w:rPr>
          <w:rFonts w:ascii="Times New Roman" w:hAnsi="Times New Roman"/>
          <w:b/>
          <w:sz w:val="24"/>
          <w:szCs w:val="24"/>
        </w:rPr>
        <w:lastRenderedPageBreak/>
        <w:t>disposto no art. 14, parágrafo terceiro da lei n. 12.016/2009. Oficie-se à D. autoridade impetrada.</w:t>
      </w:r>
    </w:p>
    <w:p w14:paraId="736FD530"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Sem honorários advocatícios nos termos da lei n. 12.016/2009. Custas nos termos da lei.</w:t>
      </w:r>
    </w:p>
    <w:p w14:paraId="2452890D"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Observe-se o disposto no art. 14, parágrafo 1o. da lei n. 12016/2009, atinente à revisão relativa ao duplo grau.</w:t>
      </w:r>
    </w:p>
    <w:p w14:paraId="0D607FE2" w14:textId="77777777" w:rsidR="001B06F8" w:rsidRPr="00081ED0" w:rsidRDefault="001B06F8" w:rsidP="00081ED0">
      <w:pPr>
        <w:pStyle w:val="Corpodetexto"/>
        <w:ind w:right="109"/>
        <w:rPr>
          <w:rFonts w:ascii="Times New Roman" w:hAnsi="Times New Roman"/>
          <w:b/>
          <w:sz w:val="24"/>
          <w:szCs w:val="24"/>
        </w:rPr>
      </w:pPr>
      <w:r w:rsidRPr="00081ED0">
        <w:rPr>
          <w:rFonts w:ascii="Times New Roman" w:hAnsi="Times New Roman"/>
          <w:b/>
          <w:sz w:val="24"/>
          <w:szCs w:val="24"/>
        </w:rPr>
        <w:t>P.I. e Oficie-se.</w:t>
      </w:r>
    </w:p>
    <w:p w14:paraId="4A16B181" w14:textId="77777777" w:rsidR="001B06F8" w:rsidRPr="00081ED0" w:rsidRDefault="001B06F8" w:rsidP="00081ED0">
      <w:pPr>
        <w:tabs>
          <w:tab w:val="left" w:pos="1022"/>
        </w:tabs>
        <w:ind w:right="109"/>
        <w:jc w:val="both"/>
        <w:rPr>
          <w:sz w:val="24"/>
          <w:szCs w:val="24"/>
        </w:rPr>
      </w:pPr>
    </w:p>
    <w:p w14:paraId="63A488BD"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sz w:val="24"/>
          <w:szCs w:val="24"/>
        </w:rPr>
        <w:t xml:space="preserve">Para saber se </w:t>
      </w:r>
      <w:r w:rsidRPr="00081ED0">
        <w:rPr>
          <w:color w:val="0D0D0D"/>
          <w:sz w:val="24"/>
          <w:szCs w:val="24"/>
          <w:shd w:val="clear" w:color="auto" w:fill="FFFFFF"/>
        </w:rPr>
        <w:t>a condição imposta pela Receita Federal por meio de Instrução Normativa ofende o princípio da legalidade, considerando a sentença proferida no processo nº 5000448-24.2018.4.03.6114, primeiro analisaremos o contexto que permeia a questão.</w:t>
      </w:r>
    </w:p>
    <w:p w14:paraId="3A1EA38F"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44758A2D"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b/>
          <w:color w:val="0D0D0D"/>
          <w:sz w:val="24"/>
          <w:szCs w:val="24"/>
          <w:shd w:val="clear" w:color="auto" w:fill="FFFFFF"/>
        </w:rPr>
        <w:t>1. Princípio da Legalidade:</w:t>
      </w:r>
      <w:r w:rsidRPr="00081ED0">
        <w:rPr>
          <w:color w:val="0D0D0D"/>
          <w:sz w:val="24"/>
          <w:szCs w:val="24"/>
          <w:shd w:val="clear" w:color="auto" w:fill="FFFFFF"/>
        </w:rPr>
        <w:t xml:space="preserve"> O princípio da legalidade, consagrado no artigo 5º, inciso II, da Constituição Federal, estabelece que "ninguém será obrigado a fazer ou deixar de fazer alguma coisa senão em virtude de lei". Esse princípio é fundamental no direito tributário, onde somente a lei pode estabelecer a obrigação de pagar tributos, bem como as condições e limitações para o exercício de direitos relacionados à tributação.</w:t>
      </w:r>
    </w:p>
    <w:p w14:paraId="6C42C965"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59351ADB"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b/>
          <w:color w:val="0D0D0D"/>
          <w:sz w:val="24"/>
          <w:szCs w:val="24"/>
          <w:shd w:val="clear" w:color="auto" w:fill="FFFFFF"/>
        </w:rPr>
        <w:t>2. Compensação de Créditos Tributários:</w:t>
      </w:r>
      <w:r w:rsidRPr="00081ED0">
        <w:rPr>
          <w:color w:val="0D0D0D"/>
          <w:sz w:val="24"/>
          <w:szCs w:val="24"/>
          <w:shd w:val="clear" w:color="auto" w:fill="FFFFFF"/>
        </w:rPr>
        <w:t xml:space="preserve"> O artigo 170 do Código Tributário Nacional (CTN) prevê a compensação de créditos tributários, e a Lei 9.430/96, em seu artigo 74, regulamenta esse procedimento, estipulando um prazo de 5 anos para a homologação da compensação.</w:t>
      </w:r>
    </w:p>
    <w:p w14:paraId="65542470"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6806D791"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b/>
          <w:color w:val="0D0D0D"/>
          <w:sz w:val="24"/>
          <w:szCs w:val="24"/>
          <w:shd w:val="clear" w:color="auto" w:fill="FFFFFF"/>
        </w:rPr>
        <w:t>3. Instrução Normativa RFB nº 1.765/2017:</w:t>
      </w:r>
      <w:r w:rsidRPr="00081ED0">
        <w:rPr>
          <w:color w:val="0D0D0D"/>
          <w:sz w:val="24"/>
          <w:szCs w:val="24"/>
          <w:shd w:val="clear" w:color="auto" w:fill="FFFFFF"/>
        </w:rPr>
        <w:t xml:space="preserve"> A Instrução Normativa nº 1.765/2017, que incluiu o artigo 161-A na Instrução Normativa RFB nº 1.717/17, condicionou a recepção dos pedidos de compensação de saldo negativo de IRPJ à prévia entrega da Escrituração Contábil Fiscal (ECF). A ECF deve ser entregue até o último dia de julho do ano subsequente ao ano-calendário de apuração.</w:t>
      </w:r>
    </w:p>
    <w:p w14:paraId="6988D1AE"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40E0F1A7" w14:textId="77777777" w:rsidR="005D41BE" w:rsidRPr="00081ED0" w:rsidRDefault="005D41BE" w:rsidP="00081ED0">
      <w:pPr>
        <w:tabs>
          <w:tab w:val="left" w:pos="1022"/>
        </w:tabs>
        <w:ind w:right="109" w:firstLine="567"/>
        <w:jc w:val="both"/>
        <w:rPr>
          <w:b/>
          <w:color w:val="0D0D0D"/>
          <w:sz w:val="24"/>
          <w:szCs w:val="24"/>
          <w:shd w:val="clear" w:color="auto" w:fill="FFFFFF"/>
        </w:rPr>
      </w:pPr>
      <w:r w:rsidRPr="00081ED0">
        <w:rPr>
          <w:b/>
          <w:color w:val="0D0D0D"/>
          <w:sz w:val="24"/>
          <w:szCs w:val="24"/>
          <w:shd w:val="clear" w:color="auto" w:fill="FFFFFF"/>
        </w:rPr>
        <w:t>Análise da Sentença nº 5000448-24.2018.4.03.6114:</w:t>
      </w:r>
    </w:p>
    <w:p w14:paraId="10A36DA9"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68B2A5A3"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color w:val="0D0D0D"/>
          <w:sz w:val="24"/>
          <w:szCs w:val="24"/>
          <w:shd w:val="clear" w:color="auto" w:fill="FFFFFF"/>
        </w:rPr>
        <w:t>A sentença do Mandado de Segurança nº 5000448-24.2018.4.03.6114, impetrado pela Volkswagen do Brasil, questionou a legalidade da exigência da Receita Federal de condicionar a recepção dos pedidos de compensação (PER/DCOMP) à prévia entrega da ECF.</w:t>
      </w:r>
    </w:p>
    <w:p w14:paraId="288955BA"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37AA8F8C" w14:textId="77777777" w:rsidR="005D41BE" w:rsidRPr="00081ED0" w:rsidRDefault="005D41BE" w:rsidP="00081ED0">
      <w:pPr>
        <w:tabs>
          <w:tab w:val="left" w:pos="1022"/>
        </w:tabs>
        <w:ind w:right="109" w:firstLine="567"/>
        <w:jc w:val="both"/>
        <w:rPr>
          <w:b/>
          <w:color w:val="0D0D0D"/>
          <w:sz w:val="24"/>
          <w:szCs w:val="24"/>
          <w:shd w:val="clear" w:color="auto" w:fill="FFFFFF"/>
        </w:rPr>
      </w:pPr>
      <w:r w:rsidRPr="00081ED0">
        <w:rPr>
          <w:b/>
          <w:color w:val="0D0D0D"/>
          <w:sz w:val="24"/>
          <w:szCs w:val="24"/>
          <w:shd w:val="clear" w:color="auto" w:fill="FFFFFF"/>
        </w:rPr>
        <w:t>Argumentos da Sentença:</w:t>
      </w:r>
    </w:p>
    <w:p w14:paraId="2551B292"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4A3C542B" w14:textId="77777777" w:rsidR="005D41BE" w:rsidRPr="00081ED0" w:rsidRDefault="005D41BE" w:rsidP="00081ED0">
      <w:pPr>
        <w:pStyle w:val="PargrafodaLista"/>
        <w:numPr>
          <w:ilvl w:val="0"/>
          <w:numId w:val="13"/>
        </w:numPr>
        <w:tabs>
          <w:tab w:val="left" w:pos="1022"/>
        </w:tabs>
        <w:ind w:right="109"/>
        <w:jc w:val="both"/>
        <w:rPr>
          <w:color w:val="0D0D0D"/>
          <w:sz w:val="24"/>
          <w:szCs w:val="24"/>
          <w:shd w:val="clear" w:color="auto" w:fill="FFFFFF"/>
        </w:rPr>
      </w:pPr>
      <w:r w:rsidRPr="00081ED0">
        <w:rPr>
          <w:color w:val="0D0D0D"/>
          <w:sz w:val="24"/>
          <w:szCs w:val="24"/>
          <w:u w:val="single"/>
          <w:shd w:val="clear" w:color="auto" w:fill="FFFFFF"/>
        </w:rPr>
        <w:t>Ilegalidade da Condição</w:t>
      </w:r>
      <w:r w:rsidRPr="00081ED0">
        <w:rPr>
          <w:color w:val="0D0D0D"/>
          <w:sz w:val="24"/>
          <w:szCs w:val="24"/>
          <w:shd w:val="clear" w:color="auto" w:fill="FFFFFF"/>
        </w:rPr>
        <w:t>:</w:t>
      </w:r>
    </w:p>
    <w:p w14:paraId="0775DA41"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4F42A0EA"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color w:val="0D0D0D"/>
          <w:sz w:val="24"/>
          <w:szCs w:val="24"/>
          <w:shd w:val="clear" w:color="auto" w:fill="FFFFFF"/>
        </w:rPr>
        <w:t xml:space="preserve">A sentença julgou procedente o pedido da impetrante, reconhecendo como direito </w:t>
      </w:r>
      <w:proofErr w:type="gramStart"/>
      <w:r w:rsidRPr="00081ED0">
        <w:rPr>
          <w:color w:val="0D0D0D"/>
          <w:sz w:val="24"/>
          <w:szCs w:val="24"/>
          <w:shd w:val="clear" w:color="auto" w:fill="FFFFFF"/>
        </w:rPr>
        <w:t>da</w:t>
      </w:r>
      <w:proofErr w:type="gramEnd"/>
      <w:r w:rsidRPr="00081ED0">
        <w:rPr>
          <w:color w:val="0D0D0D"/>
          <w:sz w:val="24"/>
          <w:szCs w:val="24"/>
          <w:shd w:val="clear" w:color="auto" w:fill="FFFFFF"/>
        </w:rPr>
        <w:t xml:space="preserve"> empresa transmitir e ter aceitos os PER/</w:t>
      </w:r>
      <w:proofErr w:type="spellStart"/>
      <w:r w:rsidRPr="00081ED0">
        <w:rPr>
          <w:color w:val="0D0D0D"/>
          <w:sz w:val="24"/>
          <w:szCs w:val="24"/>
          <w:shd w:val="clear" w:color="auto" w:fill="FFFFFF"/>
        </w:rPr>
        <w:t>DCOMPs</w:t>
      </w:r>
      <w:proofErr w:type="spellEnd"/>
      <w:r w:rsidRPr="00081ED0">
        <w:rPr>
          <w:color w:val="0D0D0D"/>
          <w:sz w:val="24"/>
          <w:szCs w:val="24"/>
          <w:shd w:val="clear" w:color="auto" w:fill="FFFFFF"/>
        </w:rPr>
        <w:t xml:space="preserve"> utilizando crédito originado de saldo negativo de IRPJ e CSLL, sem a exigência de entrega prévia da ECF.</w:t>
      </w:r>
    </w:p>
    <w:p w14:paraId="4A241EC7" w14:textId="77777777" w:rsidR="00081ED0" w:rsidRPr="00081ED0" w:rsidRDefault="00081ED0" w:rsidP="00081ED0">
      <w:pPr>
        <w:tabs>
          <w:tab w:val="left" w:pos="1022"/>
        </w:tabs>
        <w:ind w:right="109" w:firstLine="567"/>
        <w:jc w:val="both"/>
        <w:rPr>
          <w:color w:val="0D0D0D"/>
          <w:sz w:val="24"/>
          <w:szCs w:val="24"/>
          <w:shd w:val="clear" w:color="auto" w:fill="FFFFFF"/>
        </w:rPr>
      </w:pPr>
    </w:p>
    <w:p w14:paraId="66BD961A"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color w:val="0D0D0D"/>
          <w:sz w:val="24"/>
          <w:szCs w:val="24"/>
          <w:shd w:val="clear" w:color="auto" w:fill="FFFFFF"/>
        </w:rPr>
        <w:t>Foi destacada a ausência de justificativa razoável para a discriminação entre contribuintes que têm créditos a compensar e aqueles que não têm. Essa discriminação impõe um ônus adicional aos primeiros, obrigando-os a cumprir a obrigação acessória (entrega da ECF) antecipadamente, sem base legal clara.</w:t>
      </w:r>
    </w:p>
    <w:p w14:paraId="12344D2C"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7B814FC5" w14:textId="77777777" w:rsidR="005D41BE" w:rsidRPr="00081ED0" w:rsidRDefault="005D41BE" w:rsidP="00081ED0">
      <w:pPr>
        <w:pStyle w:val="PargrafodaLista"/>
        <w:numPr>
          <w:ilvl w:val="0"/>
          <w:numId w:val="13"/>
        </w:numPr>
        <w:tabs>
          <w:tab w:val="left" w:pos="1022"/>
        </w:tabs>
        <w:ind w:right="109"/>
        <w:jc w:val="both"/>
        <w:rPr>
          <w:color w:val="0D0D0D"/>
          <w:sz w:val="24"/>
          <w:szCs w:val="24"/>
          <w:shd w:val="clear" w:color="auto" w:fill="FFFFFF"/>
        </w:rPr>
      </w:pPr>
      <w:r w:rsidRPr="00081ED0">
        <w:rPr>
          <w:color w:val="0D0D0D"/>
          <w:sz w:val="24"/>
          <w:szCs w:val="24"/>
          <w:u w:val="single"/>
          <w:shd w:val="clear" w:color="auto" w:fill="FFFFFF"/>
        </w:rPr>
        <w:lastRenderedPageBreak/>
        <w:t>Princípio da Razoabilidade</w:t>
      </w:r>
      <w:r w:rsidRPr="00081ED0">
        <w:rPr>
          <w:color w:val="0D0D0D"/>
          <w:sz w:val="24"/>
          <w:szCs w:val="24"/>
          <w:shd w:val="clear" w:color="auto" w:fill="FFFFFF"/>
        </w:rPr>
        <w:t xml:space="preserve">: </w:t>
      </w:r>
    </w:p>
    <w:p w14:paraId="2ADE4103" w14:textId="77777777" w:rsidR="005D41BE" w:rsidRPr="00081ED0" w:rsidRDefault="005D41BE" w:rsidP="00081ED0">
      <w:pPr>
        <w:tabs>
          <w:tab w:val="left" w:pos="1022"/>
        </w:tabs>
        <w:ind w:right="109"/>
        <w:jc w:val="both"/>
        <w:rPr>
          <w:color w:val="0D0D0D"/>
          <w:sz w:val="24"/>
          <w:szCs w:val="24"/>
          <w:shd w:val="clear" w:color="auto" w:fill="FFFFFF"/>
        </w:rPr>
      </w:pPr>
    </w:p>
    <w:p w14:paraId="2B70E117"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color w:val="0D0D0D"/>
          <w:sz w:val="24"/>
          <w:szCs w:val="24"/>
          <w:shd w:val="clear" w:color="auto" w:fill="FFFFFF"/>
        </w:rPr>
        <w:t>A sentença considerou que a instrução normativa criou obstáculos ao direito à compensação tributária sem lastro legal e de forma discriminatória, violando o princípio da razoabilidade. A ECF é uma obrigação acessória com prazo regulamentado pela IN RFB nº 1422/2013, e a antecipação desse prazo apenas para contribuintes com créditos a compensar foi vista como uma imposição irrazoável.</w:t>
      </w:r>
    </w:p>
    <w:p w14:paraId="2477F065" w14:textId="77777777" w:rsidR="005D41BE" w:rsidRPr="00081ED0" w:rsidRDefault="005D41BE" w:rsidP="00081ED0">
      <w:pPr>
        <w:tabs>
          <w:tab w:val="left" w:pos="1022"/>
        </w:tabs>
        <w:ind w:right="109" w:firstLine="567"/>
        <w:jc w:val="both"/>
        <w:rPr>
          <w:b/>
          <w:color w:val="0D0D0D"/>
          <w:sz w:val="24"/>
          <w:szCs w:val="24"/>
          <w:shd w:val="clear" w:color="auto" w:fill="FFFFFF"/>
        </w:rPr>
      </w:pPr>
    </w:p>
    <w:p w14:paraId="284E1FA5" w14:textId="77777777" w:rsidR="005D41BE" w:rsidRPr="00081ED0" w:rsidRDefault="005D41BE" w:rsidP="00081ED0">
      <w:pPr>
        <w:tabs>
          <w:tab w:val="left" w:pos="1022"/>
        </w:tabs>
        <w:ind w:right="109" w:firstLine="567"/>
        <w:jc w:val="both"/>
        <w:rPr>
          <w:b/>
          <w:color w:val="0D0D0D"/>
          <w:sz w:val="24"/>
          <w:szCs w:val="24"/>
          <w:shd w:val="clear" w:color="auto" w:fill="FFFFFF"/>
        </w:rPr>
      </w:pPr>
      <w:r w:rsidRPr="00081ED0">
        <w:rPr>
          <w:b/>
          <w:color w:val="0D0D0D"/>
          <w:sz w:val="24"/>
          <w:szCs w:val="24"/>
          <w:shd w:val="clear" w:color="auto" w:fill="FFFFFF"/>
        </w:rPr>
        <w:t>Conclusão:</w:t>
      </w:r>
    </w:p>
    <w:p w14:paraId="5820C552" w14:textId="77777777" w:rsidR="005D41BE" w:rsidRPr="00081ED0" w:rsidRDefault="005D41BE" w:rsidP="00081ED0">
      <w:pPr>
        <w:tabs>
          <w:tab w:val="left" w:pos="1022"/>
        </w:tabs>
        <w:ind w:right="109" w:firstLine="567"/>
        <w:jc w:val="both"/>
        <w:rPr>
          <w:color w:val="0D0D0D"/>
          <w:sz w:val="24"/>
          <w:szCs w:val="24"/>
          <w:shd w:val="clear" w:color="auto" w:fill="FFFFFF"/>
        </w:rPr>
      </w:pPr>
    </w:p>
    <w:p w14:paraId="7C3EC675" w14:textId="77777777" w:rsidR="005D41BE" w:rsidRPr="00081ED0" w:rsidRDefault="005D41BE" w:rsidP="00081ED0">
      <w:pPr>
        <w:tabs>
          <w:tab w:val="left" w:pos="1022"/>
        </w:tabs>
        <w:ind w:right="109" w:firstLine="567"/>
        <w:jc w:val="both"/>
        <w:rPr>
          <w:color w:val="0D0D0D"/>
          <w:sz w:val="24"/>
          <w:szCs w:val="24"/>
          <w:shd w:val="clear" w:color="auto" w:fill="FFFFFF"/>
        </w:rPr>
      </w:pPr>
      <w:r w:rsidRPr="00081ED0">
        <w:rPr>
          <w:color w:val="0D0D0D"/>
          <w:sz w:val="24"/>
          <w:szCs w:val="24"/>
          <w:shd w:val="clear" w:color="auto" w:fill="FFFFFF"/>
        </w:rPr>
        <w:t>A condição imposta pela Receita Federal por meio da Instrução Normativa nº 1.765/2017 ofende o princípio da legalidade. A IN RFB nº 1.765/2017 condiciona a recepção dos pedidos de compensação de saldo negativo de IRPJ e CSLL à entrega prévia da ECF, antecipando o cumprimento de uma obrigação acessória específica, sem amparo legal claro e de forma discriminatória. A sentença no processo nº 5000448-24.2018.4.03.6114 reconheceu a ilegalidade dessa condição, enfatizando a falta de justificativa razoável e a violação do princípio da razoabilidade. Portanto, a exigência da Receita Federal foi considerada ilegal, pois impôs restrições adicionais não previstas em lei, prejudicando o direito dos contribuintes de realizarem a compensação tributária de forma justa e equitativa.</w:t>
      </w:r>
    </w:p>
    <w:p w14:paraId="0F507762" w14:textId="77777777" w:rsidR="001B06F8" w:rsidRPr="00081ED0" w:rsidRDefault="001B06F8" w:rsidP="00081ED0">
      <w:pPr>
        <w:tabs>
          <w:tab w:val="left" w:pos="1022"/>
        </w:tabs>
        <w:ind w:right="109"/>
        <w:jc w:val="both"/>
        <w:rPr>
          <w:sz w:val="24"/>
          <w:szCs w:val="24"/>
        </w:rPr>
      </w:pPr>
    </w:p>
    <w:p w14:paraId="1D00AE44" w14:textId="77777777" w:rsidR="001B06F8" w:rsidRPr="00081ED0" w:rsidRDefault="001B06F8" w:rsidP="00081ED0">
      <w:pPr>
        <w:tabs>
          <w:tab w:val="left" w:pos="1022"/>
        </w:tabs>
        <w:ind w:right="109"/>
        <w:jc w:val="both"/>
        <w:rPr>
          <w:sz w:val="24"/>
          <w:szCs w:val="24"/>
        </w:rPr>
      </w:pPr>
    </w:p>
    <w:p w14:paraId="3E2A1B01" w14:textId="77777777" w:rsidR="001B06F8" w:rsidRPr="00081ED0" w:rsidRDefault="001B06F8" w:rsidP="00081ED0">
      <w:pPr>
        <w:pStyle w:val="PargrafodaLista"/>
        <w:numPr>
          <w:ilvl w:val="0"/>
          <w:numId w:val="4"/>
        </w:numPr>
        <w:tabs>
          <w:tab w:val="left" w:pos="1022"/>
        </w:tabs>
        <w:ind w:left="425" w:right="6" w:hanging="425"/>
        <w:contextualSpacing w:val="0"/>
        <w:jc w:val="both"/>
        <w:rPr>
          <w:b/>
          <w:sz w:val="24"/>
          <w:szCs w:val="24"/>
        </w:rPr>
      </w:pPr>
      <w:r w:rsidRPr="00081ED0">
        <w:rPr>
          <w:b/>
          <w:sz w:val="24"/>
          <w:szCs w:val="24"/>
        </w:rPr>
        <w:t>Município X institui Imposto Sobre a Renda com alíquota de 65% mediante Decreto incidentes sobre fatos ocorridos no ano anterior. Pergunta-se:</w:t>
      </w:r>
    </w:p>
    <w:p w14:paraId="705AC6F5" w14:textId="77777777" w:rsidR="001B06F8" w:rsidRPr="00081ED0" w:rsidRDefault="001B06F8" w:rsidP="00081ED0">
      <w:pPr>
        <w:pStyle w:val="PargrafodaLista"/>
        <w:widowControl w:val="0"/>
        <w:numPr>
          <w:ilvl w:val="0"/>
          <w:numId w:val="3"/>
        </w:numPr>
        <w:tabs>
          <w:tab w:val="left" w:pos="1276"/>
        </w:tabs>
        <w:autoSpaceDE w:val="0"/>
        <w:autoSpaceDN w:val="0"/>
        <w:ind w:left="1276" w:right="414" w:hanging="425"/>
        <w:contextualSpacing w:val="0"/>
        <w:jc w:val="both"/>
        <w:rPr>
          <w:rFonts w:eastAsia="Courier New"/>
          <w:b/>
          <w:sz w:val="24"/>
          <w:szCs w:val="24"/>
        </w:rPr>
      </w:pPr>
      <w:r w:rsidRPr="00081ED0">
        <w:rPr>
          <w:rFonts w:eastAsia="Courier New"/>
          <w:b/>
          <w:sz w:val="24"/>
          <w:szCs w:val="24"/>
        </w:rPr>
        <w:t>Houve a violação a algum princípio constitucional? Qual?</w:t>
      </w:r>
    </w:p>
    <w:p w14:paraId="658F9DC9" w14:textId="77777777" w:rsidR="001B06F8" w:rsidRPr="00081ED0" w:rsidRDefault="001B06F8" w:rsidP="00081ED0">
      <w:pPr>
        <w:pStyle w:val="PargrafodaLista"/>
        <w:widowControl w:val="0"/>
        <w:numPr>
          <w:ilvl w:val="0"/>
          <w:numId w:val="3"/>
        </w:numPr>
        <w:tabs>
          <w:tab w:val="left" w:pos="1276"/>
        </w:tabs>
        <w:autoSpaceDE w:val="0"/>
        <w:autoSpaceDN w:val="0"/>
        <w:ind w:left="1276" w:right="414" w:hanging="425"/>
        <w:contextualSpacing w:val="0"/>
        <w:jc w:val="both"/>
        <w:rPr>
          <w:rFonts w:eastAsia="Courier New"/>
          <w:b/>
          <w:sz w:val="24"/>
          <w:szCs w:val="24"/>
        </w:rPr>
      </w:pPr>
      <w:r w:rsidRPr="00081ED0">
        <w:rPr>
          <w:rFonts w:eastAsia="Courier New"/>
          <w:b/>
          <w:sz w:val="24"/>
          <w:szCs w:val="24"/>
        </w:rPr>
        <w:t>É possível falar que o tributo é confiscatório? E se a alíquota fosse 49%?</w:t>
      </w:r>
    </w:p>
    <w:p w14:paraId="51A520BA" w14:textId="77777777" w:rsidR="001B06F8" w:rsidRPr="00081ED0" w:rsidRDefault="001B06F8" w:rsidP="00081ED0">
      <w:pPr>
        <w:pStyle w:val="PargrafodaLista"/>
        <w:widowControl w:val="0"/>
        <w:numPr>
          <w:ilvl w:val="0"/>
          <w:numId w:val="3"/>
        </w:numPr>
        <w:tabs>
          <w:tab w:val="left" w:pos="1276"/>
        </w:tabs>
        <w:autoSpaceDE w:val="0"/>
        <w:autoSpaceDN w:val="0"/>
        <w:ind w:left="1276" w:right="414" w:hanging="425"/>
        <w:contextualSpacing w:val="0"/>
        <w:jc w:val="both"/>
        <w:rPr>
          <w:rFonts w:eastAsia="Courier New"/>
          <w:b/>
          <w:sz w:val="24"/>
          <w:szCs w:val="24"/>
        </w:rPr>
      </w:pPr>
      <w:r w:rsidRPr="00081ED0">
        <w:rPr>
          <w:rFonts w:eastAsia="Courier New"/>
          <w:b/>
          <w:sz w:val="24"/>
          <w:szCs w:val="24"/>
        </w:rPr>
        <w:t>A exação instituída por Decreto é tributo? Caso não seja, como enfrentar a alegação do procurador do município de que por não ser tributo estaria fora do regime tributário?</w:t>
      </w:r>
    </w:p>
    <w:p w14:paraId="46E57150" w14:textId="77777777" w:rsidR="008354A0" w:rsidRPr="00081ED0" w:rsidRDefault="008354A0" w:rsidP="00081ED0">
      <w:pPr>
        <w:jc w:val="both"/>
        <w:rPr>
          <w:sz w:val="24"/>
          <w:szCs w:val="24"/>
        </w:rPr>
      </w:pPr>
    </w:p>
    <w:p w14:paraId="6B38D98F" w14:textId="77777777" w:rsidR="005D41BE" w:rsidRPr="00081ED0" w:rsidRDefault="005D41BE" w:rsidP="00CE6FA4">
      <w:pPr>
        <w:ind w:firstLine="567"/>
        <w:jc w:val="both"/>
        <w:rPr>
          <w:sz w:val="24"/>
          <w:szCs w:val="24"/>
        </w:rPr>
      </w:pPr>
      <w:r w:rsidRPr="00081ED0">
        <w:rPr>
          <w:sz w:val="24"/>
          <w:szCs w:val="24"/>
        </w:rPr>
        <w:t>O cenário da questão diz respeito ao Imposto Sobre a Renda Instituído por Município. No caso, o Município X instituiu um Imposto sobre a Renda com alíquota de 65%, mediante Decreto, incidente sobre fatos ocorridos no ano anterior.</w:t>
      </w:r>
    </w:p>
    <w:p w14:paraId="7EFF386F" w14:textId="77777777" w:rsidR="005D41BE" w:rsidRPr="00081ED0" w:rsidRDefault="005D41BE" w:rsidP="00081ED0">
      <w:pPr>
        <w:jc w:val="both"/>
        <w:rPr>
          <w:sz w:val="24"/>
          <w:szCs w:val="24"/>
        </w:rPr>
      </w:pPr>
    </w:p>
    <w:p w14:paraId="2024F356" w14:textId="77777777" w:rsidR="005D41BE" w:rsidRPr="00081ED0" w:rsidRDefault="005D41BE" w:rsidP="00081ED0">
      <w:pPr>
        <w:jc w:val="both"/>
        <w:rPr>
          <w:b/>
          <w:sz w:val="24"/>
          <w:szCs w:val="24"/>
        </w:rPr>
      </w:pPr>
      <w:r w:rsidRPr="00081ED0">
        <w:rPr>
          <w:b/>
          <w:sz w:val="24"/>
          <w:szCs w:val="24"/>
        </w:rPr>
        <w:t>Houve violação a vários princípios constitucionais:</w:t>
      </w:r>
    </w:p>
    <w:p w14:paraId="4497EB34" w14:textId="77777777" w:rsidR="005D41BE" w:rsidRPr="00081ED0" w:rsidRDefault="005D41BE" w:rsidP="00081ED0">
      <w:pPr>
        <w:jc w:val="both"/>
        <w:rPr>
          <w:sz w:val="24"/>
          <w:szCs w:val="24"/>
        </w:rPr>
      </w:pPr>
    </w:p>
    <w:p w14:paraId="1327163D" w14:textId="77777777" w:rsidR="005D41BE" w:rsidRPr="00081ED0" w:rsidRDefault="005D41BE" w:rsidP="00081ED0">
      <w:pPr>
        <w:pStyle w:val="PargrafodaLista"/>
        <w:numPr>
          <w:ilvl w:val="0"/>
          <w:numId w:val="14"/>
        </w:numPr>
        <w:jc w:val="both"/>
        <w:rPr>
          <w:sz w:val="24"/>
          <w:szCs w:val="24"/>
        </w:rPr>
      </w:pPr>
      <w:r w:rsidRPr="00081ED0">
        <w:rPr>
          <w:sz w:val="24"/>
          <w:szCs w:val="24"/>
          <w:u w:val="single"/>
        </w:rPr>
        <w:t>Princípio da Legalidade Tributária</w:t>
      </w:r>
      <w:r w:rsidRPr="00081ED0">
        <w:rPr>
          <w:sz w:val="24"/>
          <w:szCs w:val="24"/>
        </w:rPr>
        <w:t xml:space="preserve"> (Art. 150, I, da CF):</w:t>
      </w:r>
    </w:p>
    <w:p w14:paraId="5D8CEEA9" w14:textId="77777777" w:rsidR="005D41BE" w:rsidRPr="00081ED0" w:rsidRDefault="005D41BE" w:rsidP="00081ED0">
      <w:pPr>
        <w:jc w:val="both"/>
        <w:rPr>
          <w:sz w:val="24"/>
          <w:szCs w:val="24"/>
        </w:rPr>
      </w:pPr>
    </w:p>
    <w:p w14:paraId="3EB41AEE" w14:textId="77777777" w:rsidR="00823718" w:rsidRDefault="005D41BE" w:rsidP="00CE6FA4">
      <w:pPr>
        <w:ind w:firstLine="567"/>
        <w:jc w:val="both"/>
        <w:rPr>
          <w:sz w:val="24"/>
          <w:szCs w:val="24"/>
        </w:rPr>
      </w:pPr>
      <w:r w:rsidRPr="00081ED0">
        <w:rPr>
          <w:sz w:val="24"/>
          <w:szCs w:val="24"/>
        </w:rPr>
        <w:t xml:space="preserve">Esse princípio determina que nenhum tributo pode ser instituído ou majorado sem a </w:t>
      </w:r>
      <w:r w:rsidRPr="00CE6FA4">
        <w:rPr>
          <w:sz w:val="24"/>
          <w:szCs w:val="24"/>
        </w:rPr>
        <w:t xml:space="preserve">aprovação de uma lei específica. </w:t>
      </w:r>
    </w:p>
    <w:p w14:paraId="4926EB6B" w14:textId="77777777" w:rsidR="00823718" w:rsidRDefault="00823718" w:rsidP="00CE6FA4">
      <w:pPr>
        <w:ind w:firstLine="567"/>
        <w:jc w:val="both"/>
        <w:rPr>
          <w:sz w:val="24"/>
          <w:szCs w:val="24"/>
        </w:rPr>
      </w:pPr>
    </w:p>
    <w:p w14:paraId="6B4FA2D7" w14:textId="4E5A2C21" w:rsidR="00823718" w:rsidRDefault="00823718" w:rsidP="00CE6FA4">
      <w:pPr>
        <w:ind w:firstLine="567"/>
        <w:jc w:val="both"/>
        <w:rPr>
          <w:i/>
          <w:iCs/>
          <w:sz w:val="24"/>
          <w:szCs w:val="24"/>
        </w:rPr>
      </w:pPr>
      <w:r>
        <w:rPr>
          <w:sz w:val="24"/>
          <w:szCs w:val="24"/>
        </w:rPr>
        <w:t xml:space="preserve">Segundo </w:t>
      </w:r>
      <w:proofErr w:type="spellStart"/>
      <w:r>
        <w:rPr>
          <w:sz w:val="24"/>
          <w:szCs w:val="24"/>
        </w:rPr>
        <w:t>Schoueri</w:t>
      </w:r>
      <w:proofErr w:type="spellEnd"/>
      <w:r>
        <w:rPr>
          <w:sz w:val="24"/>
          <w:szCs w:val="24"/>
        </w:rPr>
        <w:t xml:space="preserve">: </w:t>
      </w:r>
      <w:r w:rsidRPr="00823718">
        <w:rPr>
          <w:i/>
          <w:iCs/>
          <w:sz w:val="24"/>
          <w:szCs w:val="24"/>
        </w:rPr>
        <w:t>“</w:t>
      </w:r>
      <w:proofErr w:type="spellStart"/>
      <w:r w:rsidRPr="00823718">
        <w:rPr>
          <w:i/>
          <w:iCs/>
          <w:sz w:val="24"/>
          <w:szCs w:val="24"/>
        </w:rPr>
        <w:t>Chama­se</w:t>
      </w:r>
      <w:proofErr w:type="spellEnd"/>
      <w:r w:rsidRPr="00823718">
        <w:rPr>
          <w:i/>
          <w:iCs/>
          <w:sz w:val="24"/>
          <w:szCs w:val="24"/>
        </w:rPr>
        <w:t xml:space="preserve"> reserva de lei a característica, que decorre da comparação do art. 150 com o art. 5º: enquanto este tolera a delegação, a reserva de lei implica que somente a lei (ela mesma) é que institui ou majora tributo.</w:t>
      </w:r>
      <w:r>
        <w:rPr>
          <w:i/>
          <w:iCs/>
          <w:sz w:val="24"/>
          <w:szCs w:val="24"/>
        </w:rPr>
        <w:t>”</w:t>
      </w:r>
      <w:r w:rsidRPr="00823718">
        <w:rPr>
          <w:rStyle w:val="Ttulo3Char"/>
          <w:i/>
          <w:iCs/>
          <w:sz w:val="24"/>
          <w:szCs w:val="24"/>
        </w:rPr>
        <w:t xml:space="preserve"> </w:t>
      </w:r>
      <w:r>
        <w:rPr>
          <w:rStyle w:val="Refdenotaderodap"/>
          <w:i/>
          <w:iCs/>
          <w:sz w:val="24"/>
          <w:szCs w:val="24"/>
        </w:rPr>
        <w:footnoteReference w:id="1"/>
      </w:r>
    </w:p>
    <w:p w14:paraId="177B1A8A" w14:textId="77777777" w:rsidR="00823718" w:rsidRDefault="00823718" w:rsidP="00CE6FA4">
      <w:pPr>
        <w:ind w:firstLine="567"/>
        <w:jc w:val="both"/>
        <w:rPr>
          <w:i/>
          <w:iCs/>
          <w:sz w:val="24"/>
          <w:szCs w:val="24"/>
        </w:rPr>
      </w:pPr>
    </w:p>
    <w:p w14:paraId="5649C570" w14:textId="514523A0" w:rsidR="00823718" w:rsidRDefault="00823718" w:rsidP="00CE6FA4">
      <w:pPr>
        <w:ind w:firstLine="567"/>
        <w:jc w:val="both"/>
        <w:rPr>
          <w:i/>
          <w:iCs/>
          <w:sz w:val="24"/>
          <w:szCs w:val="24"/>
        </w:rPr>
      </w:pPr>
      <w:r w:rsidRPr="00823718">
        <w:rPr>
          <w:sz w:val="24"/>
          <w:szCs w:val="24"/>
        </w:rPr>
        <w:lastRenderedPageBreak/>
        <w:t>Demais disso, ainda conforme o doutrinador</w:t>
      </w:r>
      <w:r>
        <w:rPr>
          <w:rStyle w:val="Refdenotaderodap"/>
          <w:i/>
          <w:iCs/>
          <w:sz w:val="24"/>
          <w:szCs w:val="24"/>
        </w:rPr>
        <w:footnoteReference w:id="2"/>
      </w:r>
      <w:r w:rsidRPr="00823718">
        <w:rPr>
          <w:sz w:val="24"/>
          <w:szCs w:val="24"/>
        </w:rPr>
        <w:t>:</w:t>
      </w:r>
      <w:r>
        <w:rPr>
          <w:i/>
          <w:iCs/>
          <w:sz w:val="24"/>
          <w:szCs w:val="24"/>
        </w:rPr>
        <w:t xml:space="preserve"> </w:t>
      </w:r>
    </w:p>
    <w:p w14:paraId="2BB49949" w14:textId="77777777" w:rsidR="00823718" w:rsidRDefault="00823718" w:rsidP="00CE6FA4">
      <w:pPr>
        <w:ind w:firstLine="567"/>
        <w:jc w:val="both"/>
        <w:rPr>
          <w:i/>
          <w:iCs/>
          <w:sz w:val="24"/>
          <w:szCs w:val="24"/>
        </w:rPr>
      </w:pPr>
    </w:p>
    <w:p w14:paraId="3F3CA969" w14:textId="613EA5A7" w:rsidR="00823718" w:rsidRPr="00823718" w:rsidRDefault="00823718" w:rsidP="00823718">
      <w:pPr>
        <w:pStyle w:val="Citao"/>
      </w:pPr>
      <w:r>
        <w:t xml:space="preserve">“(...) </w:t>
      </w:r>
      <w:r w:rsidRPr="00823718">
        <w:t>Por outro lado, o alcance do Princípio da Legalidade vai além da própria exigência do tributo: corolário da exigência de uma lei para que se institua um tributo é que, uma vez instituído, somente uma lei possa dispensá-lo. É o que se vê no art. 150, § 6º da Constituição Federal e nos incisos do art. 97 acima transcrito. É dizer, o Princípio da Legalidade não abrange apenas a instituição ou aumento de tributo, mas também sua redução, extinção, exclusão e suspensão.”</w:t>
      </w:r>
      <w:r w:rsidRPr="00823718">
        <w:rPr>
          <w:rStyle w:val="Ttulo3Char"/>
          <w:i/>
          <w:iCs/>
          <w:sz w:val="24"/>
          <w:szCs w:val="24"/>
        </w:rPr>
        <w:t xml:space="preserve"> </w:t>
      </w:r>
    </w:p>
    <w:p w14:paraId="670744CF" w14:textId="77777777" w:rsidR="00823718" w:rsidRDefault="00823718" w:rsidP="00CE6FA4">
      <w:pPr>
        <w:ind w:firstLine="567"/>
        <w:jc w:val="both"/>
        <w:rPr>
          <w:sz w:val="24"/>
          <w:szCs w:val="24"/>
        </w:rPr>
      </w:pPr>
    </w:p>
    <w:p w14:paraId="02ACB4B2" w14:textId="1E79FE8B" w:rsidR="005D41BE" w:rsidRPr="00CE6FA4" w:rsidRDefault="005D41BE" w:rsidP="00CE6FA4">
      <w:pPr>
        <w:ind w:firstLine="567"/>
        <w:jc w:val="both"/>
        <w:rPr>
          <w:sz w:val="24"/>
          <w:szCs w:val="24"/>
        </w:rPr>
      </w:pPr>
      <w:r w:rsidRPr="00CE6FA4">
        <w:rPr>
          <w:sz w:val="24"/>
          <w:szCs w:val="24"/>
        </w:rPr>
        <w:t>Como o imposto foi instituído por decreto, isso viola diretamente o princípio da legalidade.</w:t>
      </w:r>
    </w:p>
    <w:p w14:paraId="369CC856" w14:textId="77777777" w:rsidR="00081ED0" w:rsidRPr="00CE6FA4" w:rsidRDefault="00081ED0" w:rsidP="00CE6FA4">
      <w:pPr>
        <w:ind w:firstLine="567"/>
        <w:jc w:val="both"/>
        <w:rPr>
          <w:sz w:val="24"/>
          <w:szCs w:val="24"/>
        </w:rPr>
      </w:pPr>
    </w:p>
    <w:p w14:paraId="37BE6383" w14:textId="1FB05AA5" w:rsidR="00081ED0" w:rsidRPr="00CE6FA4" w:rsidRDefault="00081ED0" w:rsidP="00CE6FA4">
      <w:pPr>
        <w:ind w:firstLine="567"/>
        <w:jc w:val="both"/>
        <w:rPr>
          <w:sz w:val="24"/>
          <w:szCs w:val="24"/>
        </w:rPr>
      </w:pPr>
      <w:r w:rsidRPr="00CE6FA4">
        <w:rPr>
          <w:sz w:val="24"/>
          <w:szCs w:val="24"/>
        </w:rPr>
        <w:t>Instituir tributos por meio de decreto é inconstitucional, pois o princípio da legalidade tributária é um dos mais sólidos pilares do sistema jurídico-tributário brasileiro. Somente por lei pode-se instituir ou majorar tributos.</w:t>
      </w:r>
    </w:p>
    <w:p w14:paraId="1DFC6206" w14:textId="77777777" w:rsidR="00081ED0" w:rsidRPr="00CE6FA4" w:rsidRDefault="00081ED0" w:rsidP="00CE6FA4">
      <w:pPr>
        <w:ind w:firstLine="567"/>
        <w:jc w:val="both"/>
        <w:rPr>
          <w:sz w:val="24"/>
          <w:szCs w:val="24"/>
        </w:rPr>
      </w:pPr>
    </w:p>
    <w:p w14:paraId="45207BE8" w14:textId="77777777" w:rsidR="00CE6FA4" w:rsidRPr="00CE6FA4" w:rsidRDefault="00CE6FA4" w:rsidP="00CE6FA4">
      <w:pPr>
        <w:ind w:firstLine="567"/>
        <w:jc w:val="both"/>
        <w:rPr>
          <w:sz w:val="24"/>
          <w:szCs w:val="24"/>
        </w:rPr>
      </w:pPr>
      <w:r w:rsidRPr="00CE6FA4">
        <w:rPr>
          <w:sz w:val="24"/>
          <w:szCs w:val="24"/>
        </w:rPr>
        <w:t>A Constituição de 1988 submete toda a atividade tributária ao princípio da legalidade estrita, exigindo lei formal para a instituição e majoração de tributos.</w:t>
      </w:r>
    </w:p>
    <w:p w14:paraId="15889443" w14:textId="77777777" w:rsidR="00CE6FA4" w:rsidRDefault="00CE6FA4" w:rsidP="00081ED0">
      <w:pPr>
        <w:jc w:val="both"/>
        <w:rPr>
          <w:sz w:val="24"/>
          <w:szCs w:val="24"/>
          <w:highlight w:val="cyan"/>
        </w:rPr>
      </w:pPr>
    </w:p>
    <w:p w14:paraId="6988CCFB" w14:textId="243977A7" w:rsidR="00CE6FA4" w:rsidRDefault="00081ED0" w:rsidP="00CE6FA4">
      <w:pPr>
        <w:ind w:firstLine="567"/>
        <w:jc w:val="both"/>
        <w:rPr>
          <w:sz w:val="24"/>
          <w:szCs w:val="24"/>
        </w:rPr>
      </w:pPr>
      <w:r w:rsidRPr="00CE6FA4">
        <w:rPr>
          <w:sz w:val="24"/>
          <w:szCs w:val="24"/>
        </w:rPr>
        <w:t>Conforme o professor Paulo de Barros Carvalho</w:t>
      </w:r>
      <w:r w:rsidR="00CE6FA4" w:rsidRPr="00CE6FA4">
        <w:rPr>
          <w:rStyle w:val="Refdenotaderodap"/>
          <w:sz w:val="24"/>
          <w:szCs w:val="24"/>
        </w:rPr>
        <w:footnoteReference w:id="3"/>
      </w:r>
      <w:r w:rsidR="00CE6FA4" w:rsidRPr="00CE6FA4">
        <w:rPr>
          <w:sz w:val="24"/>
          <w:szCs w:val="24"/>
        </w:rPr>
        <w:t>​</w:t>
      </w:r>
      <w:r w:rsidRPr="00CE6FA4">
        <w:rPr>
          <w:sz w:val="24"/>
          <w:szCs w:val="24"/>
        </w:rPr>
        <w:t xml:space="preserve">: </w:t>
      </w:r>
    </w:p>
    <w:p w14:paraId="0B58A49A" w14:textId="77777777" w:rsidR="00CE6FA4" w:rsidRDefault="00CE6FA4" w:rsidP="00CE6FA4">
      <w:pPr>
        <w:jc w:val="both"/>
        <w:rPr>
          <w:sz w:val="24"/>
          <w:szCs w:val="24"/>
        </w:rPr>
      </w:pPr>
    </w:p>
    <w:p w14:paraId="764933F4" w14:textId="1ED00E5A" w:rsidR="00081ED0" w:rsidRPr="00CE6FA4" w:rsidRDefault="00081ED0" w:rsidP="00CE6FA4">
      <w:pPr>
        <w:pStyle w:val="Citao"/>
      </w:pPr>
      <w:r w:rsidRPr="00CE6FA4">
        <w:t>"</w:t>
      </w:r>
      <w:r w:rsidR="00CE6FA4" w:rsidRPr="00CE6FA4">
        <w:t>Ninguém será obrigado a fazer ou deixar de fazer alguma coisa, senão em virtude de lei, é o cânone da legalidade, inscrito peremptoriamente no art. 5º, II, da Constituição Federal. E reiterando o mandamento, agora com foros de especialização, voltou o constituinte a ferir o assunto, enunciando no art. 150, I, ser vedado à União, aos Estados, ao Distrito Federal e aos Municípios, sem prejuízo de outras garantias asseguradas ao contribuinte, instituir ou aumentar tributo sem lei que o estabeleça (princípio da estrita legalidade).</w:t>
      </w:r>
      <w:r w:rsidRPr="00CE6FA4">
        <w:t>"</w:t>
      </w:r>
    </w:p>
    <w:p w14:paraId="715B052F" w14:textId="77777777" w:rsidR="005D41BE" w:rsidRPr="00081ED0" w:rsidRDefault="005D41BE" w:rsidP="00081ED0">
      <w:pPr>
        <w:jc w:val="both"/>
        <w:rPr>
          <w:sz w:val="24"/>
          <w:szCs w:val="24"/>
        </w:rPr>
      </w:pPr>
    </w:p>
    <w:p w14:paraId="4BE2CB7E" w14:textId="77777777" w:rsidR="005D41BE" w:rsidRPr="00081ED0" w:rsidRDefault="005D41BE" w:rsidP="00081ED0">
      <w:pPr>
        <w:pStyle w:val="PargrafodaLista"/>
        <w:numPr>
          <w:ilvl w:val="0"/>
          <w:numId w:val="14"/>
        </w:numPr>
        <w:jc w:val="both"/>
        <w:rPr>
          <w:sz w:val="24"/>
          <w:szCs w:val="24"/>
        </w:rPr>
      </w:pPr>
      <w:r w:rsidRPr="00081ED0">
        <w:rPr>
          <w:sz w:val="24"/>
          <w:szCs w:val="24"/>
          <w:u w:val="single"/>
        </w:rPr>
        <w:t>Princípio da Anterioridade</w:t>
      </w:r>
      <w:r w:rsidRPr="00081ED0">
        <w:rPr>
          <w:sz w:val="24"/>
          <w:szCs w:val="24"/>
        </w:rPr>
        <w:t xml:space="preserve"> (Art. 150, III, "a", da CF):</w:t>
      </w:r>
    </w:p>
    <w:p w14:paraId="56A57E82" w14:textId="77777777" w:rsidR="005D41BE" w:rsidRPr="00081ED0" w:rsidRDefault="005D41BE" w:rsidP="00081ED0">
      <w:pPr>
        <w:jc w:val="both"/>
        <w:rPr>
          <w:sz w:val="24"/>
          <w:szCs w:val="24"/>
        </w:rPr>
      </w:pPr>
    </w:p>
    <w:p w14:paraId="25F323FC" w14:textId="77777777" w:rsidR="005D41BE" w:rsidRPr="00081ED0" w:rsidRDefault="005D41BE" w:rsidP="009D7099">
      <w:pPr>
        <w:ind w:firstLine="567"/>
        <w:jc w:val="both"/>
        <w:rPr>
          <w:sz w:val="24"/>
          <w:szCs w:val="24"/>
        </w:rPr>
      </w:pPr>
      <w:r w:rsidRPr="00081ED0">
        <w:rPr>
          <w:sz w:val="24"/>
          <w:szCs w:val="24"/>
        </w:rPr>
        <w:t>Esse princípio proíbe a cobrança de tributos no mesmo exercício financeiro em que a lei que os instituiu foi publicada. Além disso, a alíquota incide sobre fatos ocorridos no ano anterior, violando também a anterioridade nonagesimal (Art. 150, III, "b", da CF).</w:t>
      </w:r>
    </w:p>
    <w:p w14:paraId="7BB83D74" w14:textId="77777777" w:rsidR="00081ED0" w:rsidRPr="00081ED0" w:rsidRDefault="00081ED0" w:rsidP="009D7099">
      <w:pPr>
        <w:ind w:firstLine="567"/>
        <w:jc w:val="both"/>
        <w:rPr>
          <w:sz w:val="24"/>
          <w:szCs w:val="24"/>
        </w:rPr>
      </w:pPr>
    </w:p>
    <w:p w14:paraId="661A9335" w14:textId="64EC9718" w:rsidR="00081ED0" w:rsidRPr="00081ED0" w:rsidRDefault="00081ED0" w:rsidP="009D7099">
      <w:pPr>
        <w:ind w:firstLine="567"/>
        <w:jc w:val="both"/>
        <w:rPr>
          <w:sz w:val="24"/>
          <w:szCs w:val="24"/>
        </w:rPr>
      </w:pPr>
      <w:r w:rsidRPr="002937B0">
        <w:rPr>
          <w:sz w:val="24"/>
          <w:szCs w:val="24"/>
        </w:rPr>
        <w:t>Paulo de Barros Carvalho ensina: "</w:t>
      </w:r>
      <w:r w:rsidR="00CE6FA4" w:rsidRPr="002937B0">
        <w:rPr>
          <w:sz w:val="24"/>
          <w:szCs w:val="24"/>
        </w:rPr>
        <w:t>Segundo o princípio da anterioridade, a vigência da lei que institui ou aumenta tributo deve ficar protraída para o ano seguinte ao de sua publicação, momento em que o ato se insere no contexto comunicacional do direito.</w:t>
      </w:r>
      <w:r w:rsidRPr="002937B0">
        <w:rPr>
          <w:sz w:val="24"/>
          <w:szCs w:val="24"/>
        </w:rPr>
        <w:t>"</w:t>
      </w:r>
      <w:r w:rsidR="00CE6FA4" w:rsidRPr="002937B0">
        <w:rPr>
          <w:rStyle w:val="Refdenotaderodap"/>
          <w:sz w:val="24"/>
          <w:szCs w:val="24"/>
        </w:rPr>
        <w:footnoteReference w:id="4"/>
      </w:r>
    </w:p>
    <w:p w14:paraId="248E5310" w14:textId="77777777" w:rsidR="005D41BE" w:rsidRPr="00081ED0" w:rsidRDefault="005D41BE" w:rsidP="00081ED0">
      <w:pPr>
        <w:jc w:val="both"/>
        <w:rPr>
          <w:sz w:val="24"/>
          <w:szCs w:val="24"/>
        </w:rPr>
      </w:pPr>
    </w:p>
    <w:p w14:paraId="03155B7E" w14:textId="77777777" w:rsidR="005D41BE" w:rsidRPr="00081ED0" w:rsidRDefault="005D41BE" w:rsidP="00081ED0">
      <w:pPr>
        <w:pStyle w:val="PargrafodaLista"/>
        <w:numPr>
          <w:ilvl w:val="0"/>
          <w:numId w:val="14"/>
        </w:numPr>
        <w:jc w:val="both"/>
        <w:rPr>
          <w:sz w:val="24"/>
          <w:szCs w:val="24"/>
        </w:rPr>
      </w:pPr>
      <w:r w:rsidRPr="00081ED0">
        <w:rPr>
          <w:sz w:val="24"/>
          <w:szCs w:val="24"/>
          <w:u w:val="single"/>
        </w:rPr>
        <w:t>Princípio da Isonomia Tributária</w:t>
      </w:r>
      <w:r w:rsidRPr="00081ED0">
        <w:rPr>
          <w:sz w:val="24"/>
          <w:szCs w:val="24"/>
        </w:rPr>
        <w:t xml:space="preserve"> (Art. 150, II, da CF):</w:t>
      </w:r>
    </w:p>
    <w:p w14:paraId="6563999B" w14:textId="77777777" w:rsidR="005D41BE" w:rsidRPr="00081ED0" w:rsidRDefault="005D41BE" w:rsidP="00081ED0">
      <w:pPr>
        <w:jc w:val="both"/>
        <w:rPr>
          <w:sz w:val="24"/>
          <w:szCs w:val="24"/>
        </w:rPr>
      </w:pPr>
    </w:p>
    <w:p w14:paraId="3908CF4A" w14:textId="77777777" w:rsidR="005D41BE" w:rsidRPr="00081ED0" w:rsidRDefault="005D41BE" w:rsidP="009D7099">
      <w:pPr>
        <w:ind w:firstLine="567"/>
        <w:jc w:val="both"/>
        <w:rPr>
          <w:sz w:val="24"/>
          <w:szCs w:val="24"/>
        </w:rPr>
      </w:pPr>
      <w:r w:rsidRPr="00081ED0">
        <w:rPr>
          <w:sz w:val="24"/>
          <w:szCs w:val="24"/>
        </w:rPr>
        <w:t>A Constituição garante que todos são iguais perante a lei, sem distinção de qualquer natureza, incluindo a aplicação de tributos de forma justa e equitativa. Uma alíquota de 65% pode ser considerada desproporcional e desigual, violando a isonomia.</w:t>
      </w:r>
    </w:p>
    <w:p w14:paraId="22051DA8" w14:textId="77777777" w:rsidR="005D41BE" w:rsidRPr="00081ED0" w:rsidRDefault="005D41BE" w:rsidP="00081ED0">
      <w:pPr>
        <w:jc w:val="both"/>
        <w:rPr>
          <w:sz w:val="24"/>
          <w:szCs w:val="24"/>
        </w:rPr>
      </w:pPr>
    </w:p>
    <w:p w14:paraId="394F6C5B" w14:textId="77777777" w:rsidR="00081ED0" w:rsidRPr="00081ED0" w:rsidRDefault="00081ED0" w:rsidP="00081ED0">
      <w:pPr>
        <w:pStyle w:val="PargrafodaLista"/>
        <w:numPr>
          <w:ilvl w:val="0"/>
          <w:numId w:val="14"/>
        </w:numPr>
        <w:jc w:val="both"/>
        <w:rPr>
          <w:sz w:val="24"/>
          <w:szCs w:val="24"/>
        </w:rPr>
      </w:pPr>
      <w:r w:rsidRPr="00081ED0">
        <w:rPr>
          <w:sz w:val="24"/>
          <w:szCs w:val="24"/>
        </w:rPr>
        <w:t>Princípio da Irretroatividade (Art. 150, III, "b", da CF):</w:t>
      </w:r>
    </w:p>
    <w:p w14:paraId="36FCACFC" w14:textId="77777777" w:rsidR="00081ED0" w:rsidRPr="00081ED0" w:rsidRDefault="00081ED0" w:rsidP="00081ED0">
      <w:pPr>
        <w:pStyle w:val="PargrafodaLista"/>
        <w:jc w:val="both"/>
        <w:rPr>
          <w:sz w:val="24"/>
          <w:szCs w:val="24"/>
        </w:rPr>
      </w:pPr>
    </w:p>
    <w:p w14:paraId="168515CB" w14:textId="77777777" w:rsidR="00081ED0" w:rsidRPr="002E5112" w:rsidRDefault="00081ED0" w:rsidP="009D7099">
      <w:pPr>
        <w:ind w:firstLine="567"/>
        <w:jc w:val="both"/>
        <w:rPr>
          <w:sz w:val="24"/>
          <w:szCs w:val="24"/>
        </w:rPr>
      </w:pPr>
      <w:r w:rsidRPr="00081ED0">
        <w:rPr>
          <w:sz w:val="24"/>
          <w:szCs w:val="24"/>
        </w:rPr>
        <w:lastRenderedPageBreak/>
        <w:t xml:space="preserve">O tributo não </w:t>
      </w:r>
      <w:r w:rsidRPr="002E5112">
        <w:rPr>
          <w:sz w:val="24"/>
          <w:szCs w:val="24"/>
        </w:rPr>
        <w:t>pode ser cobrado sobre fatos geradores ocorridos antes da publicação da norma que o instituiu.</w:t>
      </w:r>
    </w:p>
    <w:p w14:paraId="0AA1C2D9" w14:textId="77777777" w:rsidR="00081ED0" w:rsidRPr="002E5112" w:rsidRDefault="00081ED0" w:rsidP="009D7099">
      <w:pPr>
        <w:ind w:firstLine="567"/>
        <w:jc w:val="both"/>
        <w:rPr>
          <w:sz w:val="24"/>
          <w:szCs w:val="24"/>
        </w:rPr>
      </w:pPr>
    </w:p>
    <w:p w14:paraId="3D6F1670" w14:textId="20E7CD3C" w:rsidR="002E5112" w:rsidRPr="002E5112" w:rsidRDefault="002E5112" w:rsidP="009D7099">
      <w:pPr>
        <w:ind w:firstLine="567"/>
        <w:jc w:val="both"/>
        <w:rPr>
          <w:sz w:val="24"/>
          <w:szCs w:val="24"/>
        </w:rPr>
      </w:pPr>
      <w:r w:rsidRPr="002E5112">
        <w:rPr>
          <w:sz w:val="24"/>
          <w:szCs w:val="24"/>
        </w:rPr>
        <w:t>A irretroatividade das leis tributárias é expressão do princípio da segurança jurídica, protegendo o contribuinte contra modificações legais que incidam sobre situações pretéritas.</w:t>
      </w:r>
    </w:p>
    <w:p w14:paraId="128F5CCD" w14:textId="77777777" w:rsidR="002E5112" w:rsidRPr="002E5112" w:rsidRDefault="002E5112" w:rsidP="009D7099">
      <w:pPr>
        <w:ind w:firstLine="567"/>
        <w:jc w:val="both"/>
        <w:rPr>
          <w:sz w:val="24"/>
          <w:szCs w:val="24"/>
        </w:rPr>
      </w:pPr>
    </w:p>
    <w:p w14:paraId="45FDC229" w14:textId="77777777" w:rsidR="002E5112" w:rsidRPr="002E5112" w:rsidRDefault="002E5112" w:rsidP="009D7099">
      <w:pPr>
        <w:ind w:firstLine="567"/>
        <w:jc w:val="both"/>
        <w:rPr>
          <w:sz w:val="24"/>
          <w:szCs w:val="24"/>
        </w:rPr>
      </w:pPr>
      <w:r w:rsidRPr="002E5112">
        <w:rPr>
          <w:sz w:val="24"/>
          <w:szCs w:val="24"/>
        </w:rPr>
        <w:t xml:space="preserve">O professor </w:t>
      </w:r>
      <w:r w:rsidR="00081ED0" w:rsidRPr="002E5112">
        <w:rPr>
          <w:sz w:val="24"/>
          <w:szCs w:val="24"/>
        </w:rPr>
        <w:t>Paulo de Barros Carvalho</w:t>
      </w:r>
      <w:r w:rsidRPr="002E5112">
        <w:rPr>
          <w:rStyle w:val="Refdenotaderodap"/>
          <w:sz w:val="24"/>
          <w:szCs w:val="24"/>
        </w:rPr>
        <w:footnoteReference w:id="5"/>
      </w:r>
      <w:r w:rsidR="00081ED0" w:rsidRPr="002E5112">
        <w:rPr>
          <w:sz w:val="24"/>
          <w:szCs w:val="24"/>
        </w:rPr>
        <w:t xml:space="preserve"> assim ensina: </w:t>
      </w:r>
    </w:p>
    <w:p w14:paraId="4B186E8A" w14:textId="77777777" w:rsidR="002E5112" w:rsidRPr="002E5112" w:rsidRDefault="002E5112" w:rsidP="002E5112">
      <w:pPr>
        <w:jc w:val="both"/>
        <w:rPr>
          <w:sz w:val="24"/>
          <w:szCs w:val="24"/>
        </w:rPr>
      </w:pPr>
    </w:p>
    <w:p w14:paraId="7ABCB7D9" w14:textId="330E6A80" w:rsidR="00081ED0" w:rsidRPr="002E5112" w:rsidRDefault="00081ED0" w:rsidP="00C53D3F">
      <w:pPr>
        <w:pStyle w:val="Citao"/>
      </w:pPr>
      <w:r w:rsidRPr="002E5112">
        <w:t>"</w:t>
      </w:r>
      <w:r w:rsidR="002E5112" w:rsidRPr="002E5112">
        <w:t xml:space="preserve">Entre as limitações do poder de tributar inscreveu o constituinte de 1988 o princípio da irretroatividade (CF, art. 150, III, a) (...) Renovo a posição segundo a qual, abaixo da justiça, o ideal maior do direito é a segurança jurídica, </w:t>
      </w:r>
      <w:proofErr w:type="spellStart"/>
      <w:r w:rsidR="002E5112" w:rsidRPr="002E5112">
        <w:t>sobreprincípio</w:t>
      </w:r>
      <w:proofErr w:type="spellEnd"/>
      <w:r w:rsidR="002E5112" w:rsidRPr="002E5112">
        <w:t xml:space="preserve"> que se irradia por todo o ordenamento e tem sua concretização viabilizada por meio de outros princípios, tal como o da irretroatividade das leis. Com ela não se compatibiliza dispositivo que, além de determinar ao Judiciário que este modifique orientação pacificada, pretende ser aplicado retroativamente.</w:t>
      </w:r>
      <w:r w:rsidRPr="002E5112">
        <w:t>"​​</w:t>
      </w:r>
    </w:p>
    <w:p w14:paraId="34E608CD" w14:textId="77777777" w:rsidR="00081ED0" w:rsidRPr="00081ED0" w:rsidRDefault="00081ED0" w:rsidP="00081ED0">
      <w:pPr>
        <w:jc w:val="both"/>
        <w:rPr>
          <w:sz w:val="24"/>
          <w:szCs w:val="24"/>
        </w:rPr>
      </w:pPr>
    </w:p>
    <w:p w14:paraId="77EC7BCF" w14:textId="77777777" w:rsidR="005D41BE" w:rsidRPr="00081ED0" w:rsidRDefault="005D41BE" w:rsidP="009D7099">
      <w:pPr>
        <w:ind w:firstLine="567"/>
        <w:jc w:val="both"/>
        <w:rPr>
          <w:b/>
          <w:sz w:val="24"/>
          <w:szCs w:val="24"/>
        </w:rPr>
      </w:pPr>
      <w:r w:rsidRPr="00081ED0">
        <w:rPr>
          <w:b/>
          <w:sz w:val="24"/>
          <w:szCs w:val="24"/>
        </w:rPr>
        <w:t>É possível falar que o tributo é confiscatório. A</w:t>
      </w:r>
      <w:r w:rsidRPr="00081ED0">
        <w:rPr>
          <w:sz w:val="24"/>
          <w:szCs w:val="24"/>
        </w:rPr>
        <w:t xml:space="preserve"> </w:t>
      </w:r>
      <w:r w:rsidRPr="00081ED0">
        <w:rPr>
          <w:b/>
          <w:sz w:val="24"/>
          <w:szCs w:val="24"/>
        </w:rPr>
        <w:t>alíquota de 65% é confiscatória, pois retira uma parte excessiva da renda do contribuinte, inviabilizando a subsistência econômica. Ademais, a alíquota de 49% também pode ser considerada confiscatória, pois ainda é excessivamente alta e pode comprometer significativamente a renda do contribuinte.</w:t>
      </w:r>
    </w:p>
    <w:p w14:paraId="46569E26" w14:textId="77777777" w:rsidR="005D41BE" w:rsidRPr="00081ED0" w:rsidRDefault="005D41BE" w:rsidP="00081ED0">
      <w:pPr>
        <w:jc w:val="both"/>
        <w:rPr>
          <w:sz w:val="24"/>
          <w:szCs w:val="24"/>
        </w:rPr>
      </w:pPr>
    </w:p>
    <w:p w14:paraId="03FDEBA7" w14:textId="77777777" w:rsidR="005D41BE" w:rsidRPr="00081ED0" w:rsidRDefault="005D41BE" w:rsidP="00081ED0">
      <w:pPr>
        <w:pStyle w:val="PargrafodaLista"/>
        <w:numPr>
          <w:ilvl w:val="0"/>
          <w:numId w:val="15"/>
        </w:numPr>
        <w:jc w:val="both"/>
        <w:rPr>
          <w:sz w:val="24"/>
          <w:szCs w:val="24"/>
        </w:rPr>
      </w:pPr>
      <w:proofErr w:type="spellStart"/>
      <w:r w:rsidRPr="00081ED0">
        <w:rPr>
          <w:sz w:val="24"/>
          <w:szCs w:val="24"/>
          <w:u w:val="single"/>
        </w:rPr>
        <w:t>Confiscatoriedade</w:t>
      </w:r>
      <w:proofErr w:type="spellEnd"/>
      <w:r w:rsidRPr="00081ED0">
        <w:rPr>
          <w:sz w:val="24"/>
          <w:szCs w:val="24"/>
          <w:u w:val="single"/>
        </w:rPr>
        <w:t xml:space="preserve"> do Tributo</w:t>
      </w:r>
      <w:r w:rsidRPr="00081ED0">
        <w:rPr>
          <w:sz w:val="24"/>
          <w:szCs w:val="24"/>
        </w:rPr>
        <w:t xml:space="preserve"> (Art. 150, IV, da CF):</w:t>
      </w:r>
    </w:p>
    <w:p w14:paraId="3F4622F6" w14:textId="77777777" w:rsidR="005D41BE" w:rsidRPr="00081ED0" w:rsidRDefault="005D41BE" w:rsidP="00081ED0">
      <w:pPr>
        <w:jc w:val="both"/>
        <w:rPr>
          <w:sz w:val="24"/>
          <w:szCs w:val="24"/>
        </w:rPr>
      </w:pPr>
    </w:p>
    <w:p w14:paraId="00B8012D" w14:textId="77777777" w:rsidR="005D41BE" w:rsidRPr="009F6861" w:rsidRDefault="005D41BE" w:rsidP="009D7099">
      <w:pPr>
        <w:ind w:firstLine="567"/>
        <w:jc w:val="both"/>
        <w:rPr>
          <w:sz w:val="24"/>
          <w:szCs w:val="24"/>
        </w:rPr>
      </w:pPr>
      <w:r w:rsidRPr="00081ED0">
        <w:rPr>
          <w:sz w:val="24"/>
          <w:szCs w:val="24"/>
        </w:rPr>
        <w:t xml:space="preserve">O princípio do não confisco proíbe </w:t>
      </w:r>
      <w:r w:rsidRPr="009F6861">
        <w:rPr>
          <w:sz w:val="24"/>
          <w:szCs w:val="24"/>
        </w:rPr>
        <w:t>a utilização de tributos com efeito de confisco. Uma alíquota de 65% sobre a renda pode ser considerada confiscatória, pois retira uma parte significativa da renda do contribuinte, inviabilizando a subsistência econômica.</w:t>
      </w:r>
    </w:p>
    <w:p w14:paraId="2E11CB9A" w14:textId="77777777" w:rsidR="00081ED0" w:rsidRPr="009F6861" w:rsidRDefault="00081ED0" w:rsidP="009D7099">
      <w:pPr>
        <w:ind w:firstLine="567"/>
        <w:jc w:val="both"/>
        <w:rPr>
          <w:sz w:val="24"/>
          <w:szCs w:val="24"/>
        </w:rPr>
      </w:pPr>
    </w:p>
    <w:p w14:paraId="2F6A9106" w14:textId="00DDD937" w:rsidR="002E5112" w:rsidRPr="009F6861" w:rsidRDefault="002E5112" w:rsidP="009D7099">
      <w:pPr>
        <w:ind w:firstLine="567"/>
        <w:jc w:val="both"/>
        <w:rPr>
          <w:sz w:val="24"/>
          <w:szCs w:val="24"/>
        </w:rPr>
      </w:pPr>
      <w:r w:rsidRPr="009F6861">
        <w:rPr>
          <w:sz w:val="24"/>
          <w:szCs w:val="24"/>
        </w:rPr>
        <w:t>O tributo que absorve parcela considerável do patrimônio ou da renda do contribuinte, impedindo o seu desenvolvimento econômico ou comprometendo a sua subsistência, deve ser considerado confiscatório.</w:t>
      </w:r>
    </w:p>
    <w:p w14:paraId="29AACE4A" w14:textId="77777777" w:rsidR="002E5112" w:rsidRPr="009F6861" w:rsidRDefault="002E5112" w:rsidP="009D7099">
      <w:pPr>
        <w:ind w:firstLine="567"/>
        <w:jc w:val="both"/>
        <w:rPr>
          <w:sz w:val="24"/>
          <w:szCs w:val="24"/>
        </w:rPr>
      </w:pPr>
    </w:p>
    <w:p w14:paraId="6BC5759C" w14:textId="2A175916" w:rsidR="002E5112" w:rsidRPr="009F6861" w:rsidRDefault="002E5112" w:rsidP="009D7099">
      <w:pPr>
        <w:ind w:firstLine="567"/>
        <w:jc w:val="both"/>
        <w:rPr>
          <w:sz w:val="24"/>
          <w:szCs w:val="24"/>
        </w:rPr>
      </w:pPr>
      <w:r w:rsidRPr="009F6861">
        <w:rPr>
          <w:sz w:val="24"/>
          <w:szCs w:val="24"/>
        </w:rPr>
        <w:t>A vedação ao confisco está diretamente ligada à proteção dos direitos fundamentais do contribuinte, impedindo que o Estado, sob o pretexto de tributar, destrua o patrimônio ou renda do cidadão.</w:t>
      </w:r>
    </w:p>
    <w:p w14:paraId="258924EA" w14:textId="77777777" w:rsidR="002E5112" w:rsidRPr="009F6861" w:rsidRDefault="002E5112" w:rsidP="009D7099">
      <w:pPr>
        <w:ind w:firstLine="567"/>
        <w:jc w:val="both"/>
        <w:rPr>
          <w:sz w:val="24"/>
          <w:szCs w:val="24"/>
        </w:rPr>
      </w:pPr>
    </w:p>
    <w:p w14:paraId="7BBCABE2" w14:textId="1CC5157E" w:rsidR="00081ED0" w:rsidRPr="009F6861" w:rsidRDefault="00081ED0" w:rsidP="009D7099">
      <w:pPr>
        <w:ind w:firstLine="567"/>
        <w:jc w:val="both"/>
        <w:rPr>
          <w:sz w:val="24"/>
          <w:szCs w:val="24"/>
        </w:rPr>
      </w:pPr>
      <w:r w:rsidRPr="009F6861">
        <w:rPr>
          <w:sz w:val="24"/>
          <w:szCs w:val="24"/>
        </w:rPr>
        <w:t>Paulo de Barros Carvalho explica que</w:t>
      </w:r>
      <w:r w:rsidR="009F6861" w:rsidRPr="009F6861">
        <w:rPr>
          <w:rStyle w:val="Refdenotaderodap"/>
          <w:sz w:val="24"/>
          <w:szCs w:val="24"/>
        </w:rPr>
        <w:footnoteReference w:id="6"/>
      </w:r>
      <w:r w:rsidR="009254C0" w:rsidRPr="009F6861">
        <w:rPr>
          <w:sz w:val="24"/>
          <w:szCs w:val="24"/>
        </w:rPr>
        <w:t>:</w:t>
      </w:r>
      <w:r w:rsidRPr="009F6861">
        <w:rPr>
          <w:sz w:val="24"/>
          <w:szCs w:val="24"/>
        </w:rPr>
        <w:t xml:space="preserve"> "</w:t>
      </w:r>
      <w:r w:rsidR="009254C0" w:rsidRPr="009F6861">
        <w:rPr>
          <w:sz w:val="24"/>
          <w:szCs w:val="24"/>
        </w:rPr>
        <w:t>O problema res</w:t>
      </w:r>
      <w:r w:rsidR="009254C0" w:rsidRPr="009254C0">
        <w:rPr>
          <w:sz w:val="24"/>
          <w:szCs w:val="24"/>
        </w:rPr>
        <w:t>ide na definição do conceito, na delimitação da ideia,</w:t>
      </w:r>
      <w:r w:rsidR="009254C0">
        <w:rPr>
          <w:sz w:val="24"/>
          <w:szCs w:val="24"/>
        </w:rPr>
        <w:t xml:space="preserve"> </w:t>
      </w:r>
      <w:r w:rsidR="009254C0" w:rsidRPr="009254C0">
        <w:rPr>
          <w:sz w:val="24"/>
          <w:szCs w:val="24"/>
        </w:rPr>
        <w:t>como limite a partir do qual incide a vedação do art. 150, IV,</w:t>
      </w:r>
      <w:r w:rsidR="009254C0">
        <w:rPr>
          <w:sz w:val="24"/>
          <w:szCs w:val="24"/>
        </w:rPr>
        <w:t xml:space="preserve"> </w:t>
      </w:r>
      <w:r w:rsidR="009254C0" w:rsidRPr="009254C0">
        <w:rPr>
          <w:sz w:val="24"/>
          <w:szCs w:val="24"/>
        </w:rPr>
        <w:t xml:space="preserve">da Constituição Federal. Aquilo que para alguns tem </w:t>
      </w:r>
      <w:r w:rsidR="009254C0" w:rsidRPr="009F6861">
        <w:rPr>
          <w:sz w:val="24"/>
          <w:szCs w:val="24"/>
        </w:rPr>
        <w:t>efeitos confiscatórios, para outros pode perfeitamente apresentar-se como forma lídima de exigência tributária."</w:t>
      </w:r>
    </w:p>
    <w:p w14:paraId="101AF9BF" w14:textId="77777777" w:rsidR="00081ED0" w:rsidRPr="009F6861" w:rsidRDefault="00081ED0" w:rsidP="009D7099">
      <w:pPr>
        <w:ind w:firstLine="567"/>
        <w:jc w:val="both"/>
        <w:rPr>
          <w:sz w:val="24"/>
          <w:szCs w:val="24"/>
        </w:rPr>
      </w:pPr>
    </w:p>
    <w:p w14:paraId="75EBE12F" w14:textId="33D2F09C" w:rsidR="00081ED0" w:rsidRPr="00081ED0" w:rsidRDefault="00081ED0" w:rsidP="009D7099">
      <w:pPr>
        <w:ind w:firstLine="567"/>
        <w:jc w:val="both"/>
        <w:rPr>
          <w:sz w:val="24"/>
          <w:szCs w:val="24"/>
        </w:rPr>
      </w:pPr>
      <w:r w:rsidRPr="009F6861">
        <w:rPr>
          <w:sz w:val="24"/>
          <w:szCs w:val="24"/>
        </w:rPr>
        <w:t>Ainda de acordo com o doutrinador</w:t>
      </w:r>
      <w:r w:rsidR="009F6861" w:rsidRPr="009F6861">
        <w:rPr>
          <w:rStyle w:val="Refdenotaderodap"/>
          <w:sz w:val="24"/>
          <w:szCs w:val="24"/>
        </w:rPr>
        <w:footnoteReference w:id="7"/>
      </w:r>
      <w:r w:rsidRPr="009F6861">
        <w:rPr>
          <w:sz w:val="24"/>
          <w:szCs w:val="24"/>
        </w:rPr>
        <w:t>: "</w:t>
      </w:r>
      <w:proofErr w:type="gramStart"/>
      <w:r w:rsidR="009254C0" w:rsidRPr="009F6861">
        <w:rPr>
          <w:sz w:val="24"/>
          <w:szCs w:val="24"/>
        </w:rPr>
        <w:t>(...) De</w:t>
      </w:r>
      <w:proofErr w:type="gramEnd"/>
      <w:r w:rsidR="009254C0" w:rsidRPr="009F6861">
        <w:rPr>
          <w:sz w:val="24"/>
          <w:szCs w:val="24"/>
        </w:rPr>
        <w:t xml:space="preserve"> evidência que qualquer excesso impositivo acarretará em cada um de nós a sensação de confisco. Porém, o difícil é detectarmos os limites. Haverá sempre uma zona nebulosa, dentro da qual as soluções resvalarão para o subjetivismo.</w:t>
      </w:r>
      <w:r w:rsidRPr="009F6861">
        <w:rPr>
          <w:sz w:val="24"/>
          <w:szCs w:val="24"/>
        </w:rPr>
        <w:t>"</w:t>
      </w:r>
    </w:p>
    <w:p w14:paraId="752ACF3E" w14:textId="77777777" w:rsidR="005D41BE" w:rsidRPr="00081ED0" w:rsidRDefault="005D41BE" w:rsidP="00081ED0">
      <w:pPr>
        <w:jc w:val="both"/>
        <w:rPr>
          <w:sz w:val="24"/>
          <w:szCs w:val="24"/>
        </w:rPr>
      </w:pPr>
    </w:p>
    <w:p w14:paraId="065D7171" w14:textId="77777777" w:rsidR="005D41BE" w:rsidRPr="00081ED0" w:rsidRDefault="005D41BE" w:rsidP="00081ED0">
      <w:pPr>
        <w:pStyle w:val="PargrafodaLista"/>
        <w:numPr>
          <w:ilvl w:val="0"/>
          <w:numId w:val="15"/>
        </w:numPr>
        <w:jc w:val="both"/>
        <w:rPr>
          <w:sz w:val="24"/>
          <w:szCs w:val="24"/>
          <w:u w:val="single"/>
        </w:rPr>
      </w:pPr>
      <w:r w:rsidRPr="00081ED0">
        <w:rPr>
          <w:sz w:val="24"/>
          <w:szCs w:val="24"/>
          <w:u w:val="single"/>
        </w:rPr>
        <w:lastRenderedPageBreak/>
        <w:t>Alíquota de 49%</w:t>
      </w:r>
      <w:r w:rsidRPr="00081ED0">
        <w:rPr>
          <w:sz w:val="24"/>
          <w:szCs w:val="24"/>
        </w:rPr>
        <w:t>:</w:t>
      </w:r>
    </w:p>
    <w:p w14:paraId="49D5AF87" w14:textId="77777777" w:rsidR="005D41BE" w:rsidRPr="00081ED0" w:rsidRDefault="005D41BE" w:rsidP="00081ED0">
      <w:pPr>
        <w:jc w:val="both"/>
        <w:rPr>
          <w:sz w:val="24"/>
          <w:szCs w:val="24"/>
        </w:rPr>
      </w:pPr>
    </w:p>
    <w:p w14:paraId="25BB9FB7" w14:textId="77777777" w:rsidR="005D41BE" w:rsidRPr="00081ED0" w:rsidRDefault="005D41BE" w:rsidP="009D7099">
      <w:pPr>
        <w:ind w:firstLine="567"/>
        <w:jc w:val="both"/>
        <w:rPr>
          <w:sz w:val="24"/>
          <w:szCs w:val="24"/>
        </w:rPr>
      </w:pPr>
      <w:r w:rsidRPr="00081ED0">
        <w:rPr>
          <w:sz w:val="24"/>
          <w:szCs w:val="24"/>
        </w:rPr>
        <w:t>Embora a alíquota de 49% seja inferior a 65%, ainda pode ser considerada excessiva e confiscatória. A jurisprudência e a doutrina tributária geralmente consideram alíquotas acima de 30% sobre a renda como potencialmente confiscatórias, dependendo do contexto econômico e da carga tributária total do contribuinte.</w:t>
      </w:r>
    </w:p>
    <w:p w14:paraId="0A7851EE" w14:textId="39305C47" w:rsidR="009F6861" w:rsidRPr="00081ED0" w:rsidRDefault="009F6861" w:rsidP="009D7099">
      <w:pPr>
        <w:ind w:firstLine="567"/>
        <w:jc w:val="both"/>
        <w:rPr>
          <w:sz w:val="24"/>
          <w:szCs w:val="24"/>
        </w:rPr>
      </w:pPr>
    </w:p>
    <w:p w14:paraId="6316152A" w14:textId="77777777" w:rsidR="00F40A32" w:rsidRDefault="00081ED0" w:rsidP="00F40A32">
      <w:pPr>
        <w:ind w:firstLine="567"/>
        <w:jc w:val="both"/>
        <w:rPr>
          <w:sz w:val="24"/>
          <w:szCs w:val="24"/>
        </w:rPr>
      </w:pPr>
      <w:r w:rsidRPr="009F6861">
        <w:rPr>
          <w:sz w:val="24"/>
          <w:szCs w:val="24"/>
        </w:rPr>
        <w:t>De acordo com o Professor Paulo de Barros Carvalho</w:t>
      </w:r>
      <w:r w:rsidR="00905382">
        <w:rPr>
          <w:rStyle w:val="Refdenotaderodap"/>
          <w:sz w:val="24"/>
          <w:szCs w:val="24"/>
        </w:rPr>
        <w:footnoteReference w:id="8"/>
      </w:r>
      <w:r w:rsidRPr="009F6861">
        <w:rPr>
          <w:sz w:val="24"/>
          <w:szCs w:val="24"/>
        </w:rPr>
        <w:t xml:space="preserve">: </w:t>
      </w:r>
    </w:p>
    <w:p w14:paraId="107C7AAD" w14:textId="77777777" w:rsidR="00F40A32" w:rsidRDefault="00F40A32" w:rsidP="00F40A32">
      <w:pPr>
        <w:ind w:firstLine="567"/>
        <w:jc w:val="both"/>
        <w:rPr>
          <w:sz w:val="24"/>
          <w:szCs w:val="24"/>
        </w:rPr>
      </w:pPr>
    </w:p>
    <w:p w14:paraId="38C0213D" w14:textId="6136DB00" w:rsidR="00081ED0" w:rsidRPr="00081ED0" w:rsidRDefault="00081ED0" w:rsidP="00F40A32">
      <w:pPr>
        <w:pStyle w:val="Citao"/>
      </w:pPr>
      <w:r w:rsidRPr="009F6861">
        <w:t>"</w:t>
      </w:r>
      <w:r w:rsidR="009F6861" w:rsidRPr="009F6861">
        <w:t>A intuição, que sabemos ser poderoso instrumento cognoscitivo,</w:t>
      </w:r>
      <w:r w:rsidR="009F6861">
        <w:t xml:space="preserve"> </w:t>
      </w:r>
      <w:r w:rsidR="009F6861" w:rsidRPr="009F6861">
        <w:t>indica-nos alguns casos flagrantes. Todavia, não oferece</w:t>
      </w:r>
      <w:r w:rsidR="009F6861">
        <w:t xml:space="preserve"> </w:t>
      </w:r>
      <w:r w:rsidR="009F6861" w:rsidRPr="009F6861">
        <w:t>diretriz segura.</w:t>
      </w:r>
      <w:r w:rsidRPr="00E93496">
        <w:rPr>
          <w:highlight w:val="cyan"/>
        </w:rPr>
        <w:t>​</w:t>
      </w:r>
      <w:r w:rsidR="00905382">
        <w:t xml:space="preserve"> </w:t>
      </w:r>
      <w:proofErr w:type="gramStart"/>
      <w:r w:rsidR="00905382">
        <w:t xml:space="preserve">(...) </w:t>
      </w:r>
      <w:r w:rsidR="00905382" w:rsidRPr="00905382">
        <w:t>Intrincado e embaraçoso</w:t>
      </w:r>
      <w:proofErr w:type="gramEnd"/>
      <w:r w:rsidR="00905382" w:rsidRPr="00905382">
        <w:t>, o objeto da regulação do referido</w:t>
      </w:r>
      <w:r w:rsidR="00F40A32">
        <w:t xml:space="preserve"> </w:t>
      </w:r>
      <w:r w:rsidR="00905382" w:rsidRPr="00905382">
        <w:t>art. 150, IV, da CF, acaba por oferecer unicamente um rumo axiológico,</w:t>
      </w:r>
      <w:r w:rsidR="00905382">
        <w:t xml:space="preserve"> </w:t>
      </w:r>
      <w:r w:rsidR="00905382" w:rsidRPr="00905382">
        <w:t>tênue e confuso, cuja nota principal repousa na simples</w:t>
      </w:r>
      <w:r w:rsidR="00905382">
        <w:t xml:space="preserve"> </w:t>
      </w:r>
      <w:r w:rsidR="00905382" w:rsidRPr="00905382">
        <w:t>advertência ao legislador dos tributos, no sentido de comunicar-lhes que existe limite para a carga tributária.</w:t>
      </w:r>
      <w:r w:rsidR="00905382" w:rsidRPr="009F6861">
        <w:t>"</w:t>
      </w:r>
    </w:p>
    <w:p w14:paraId="3DC7ECEA" w14:textId="77777777" w:rsidR="005D41BE" w:rsidRDefault="005D41BE" w:rsidP="009D7099">
      <w:pPr>
        <w:ind w:firstLine="567"/>
        <w:jc w:val="both"/>
        <w:rPr>
          <w:sz w:val="24"/>
          <w:szCs w:val="24"/>
        </w:rPr>
      </w:pPr>
    </w:p>
    <w:p w14:paraId="72E909A5" w14:textId="2D3BF105" w:rsidR="00F40A32" w:rsidRDefault="00F40A32" w:rsidP="00F40A32">
      <w:pPr>
        <w:ind w:firstLine="567"/>
        <w:jc w:val="both"/>
        <w:rPr>
          <w:sz w:val="24"/>
          <w:szCs w:val="24"/>
        </w:rPr>
      </w:pPr>
      <w:r>
        <w:rPr>
          <w:sz w:val="24"/>
          <w:szCs w:val="24"/>
        </w:rPr>
        <w:t xml:space="preserve">Ainda, segundo </w:t>
      </w:r>
      <w:proofErr w:type="spellStart"/>
      <w:r>
        <w:rPr>
          <w:sz w:val="24"/>
          <w:szCs w:val="24"/>
        </w:rPr>
        <w:t>Schoueri</w:t>
      </w:r>
      <w:proofErr w:type="spellEnd"/>
      <w:r>
        <w:rPr>
          <w:rStyle w:val="Refdenotaderodap"/>
          <w:sz w:val="24"/>
          <w:szCs w:val="24"/>
        </w:rPr>
        <w:footnoteReference w:id="9"/>
      </w:r>
      <w:r>
        <w:rPr>
          <w:sz w:val="24"/>
          <w:szCs w:val="24"/>
        </w:rPr>
        <w:t>, ao comentar sobre o inciso IV do artigo 150 da CF/88:</w:t>
      </w:r>
    </w:p>
    <w:p w14:paraId="60A6E9C3" w14:textId="77777777" w:rsidR="00F40A32" w:rsidRDefault="00F40A32" w:rsidP="00F40A32">
      <w:pPr>
        <w:ind w:firstLine="567"/>
        <w:jc w:val="both"/>
        <w:rPr>
          <w:sz w:val="24"/>
          <w:szCs w:val="24"/>
        </w:rPr>
      </w:pPr>
    </w:p>
    <w:p w14:paraId="2A49A540" w14:textId="77777777" w:rsidR="00F40A32" w:rsidRPr="00F40A32" w:rsidRDefault="00F40A32" w:rsidP="00F40A32">
      <w:pPr>
        <w:pStyle w:val="Citao"/>
      </w:pPr>
      <w:r w:rsidRPr="00F40A32">
        <w:t>O dispositivo apresenta um conteúdo imediato: não pode o tributo ser proibitivo. Se uma atividade é ilícita, o legislador não pode valer-se de subterfúgios para impedi-la. A uma atividade ilícita, aplica-se uma sanção. Esta, sim, constitui seu consequente. Por outro lado, se a atividade é lícita, o tributo não pode ser exagerado, i.e., impedir seu exercício.</w:t>
      </w:r>
    </w:p>
    <w:p w14:paraId="2F215DDF" w14:textId="7031711C" w:rsidR="00F40A32" w:rsidRDefault="00F40A32" w:rsidP="00F40A32">
      <w:pPr>
        <w:pStyle w:val="Citao"/>
      </w:pPr>
      <w:r w:rsidRPr="00F40A32">
        <w:t>Dessa forma, o Princípio ora estudado relaciona-se com a ideia de proibição de exagero, impondo que se indague não apenas se um contribuinte está sendo mais gravado que o outro (o que seria a igualdade), mas, ao mesmo tempo, se o tributo não ultrapassou o necessário para atingir sua finalidade.</w:t>
      </w:r>
    </w:p>
    <w:p w14:paraId="4AA58765" w14:textId="77777777" w:rsidR="00F40A32" w:rsidRDefault="00F40A32" w:rsidP="009D7099">
      <w:pPr>
        <w:ind w:firstLine="567"/>
        <w:jc w:val="both"/>
        <w:rPr>
          <w:sz w:val="24"/>
          <w:szCs w:val="24"/>
        </w:rPr>
      </w:pPr>
    </w:p>
    <w:p w14:paraId="33DB2C92" w14:textId="2E7372E9" w:rsidR="00F40A32" w:rsidRDefault="00F40A32" w:rsidP="009D7099">
      <w:pPr>
        <w:ind w:firstLine="567"/>
        <w:jc w:val="both"/>
        <w:rPr>
          <w:sz w:val="24"/>
          <w:szCs w:val="24"/>
        </w:rPr>
      </w:pPr>
      <w:r>
        <w:rPr>
          <w:sz w:val="24"/>
          <w:szCs w:val="24"/>
        </w:rPr>
        <w:t xml:space="preserve">Para </w:t>
      </w:r>
      <w:proofErr w:type="spellStart"/>
      <w:r>
        <w:rPr>
          <w:sz w:val="24"/>
          <w:szCs w:val="24"/>
        </w:rPr>
        <w:t>Schoueri</w:t>
      </w:r>
      <w:proofErr w:type="spellEnd"/>
      <w:r>
        <w:rPr>
          <w:sz w:val="24"/>
          <w:szCs w:val="24"/>
        </w:rPr>
        <w:t>, é difícil confirmar a ocorrência do confisco, pois é um conceito indeterminado, analisado caso a caso. Nas palavras do autor</w:t>
      </w:r>
      <w:r>
        <w:rPr>
          <w:rStyle w:val="Refdenotaderodap"/>
          <w:sz w:val="24"/>
          <w:szCs w:val="24"/>
        </w:rPr>
        <w:footnoteReference w:id="10"/>
      </w:r>
      <w:r>
        <w:rPr>
          <w:sz w:val="24"/>
          <w:szCs w:val="24"/>
        </w:rPr>
        <w:t>:</w:t>
      </w:r>
    </w:p>
    <w:p w14:paraId="73B16D29" w14:textId="77777777" w:rsidR="00F40A32" w:rsidRDefault="00F40A32" w:rsidP="009D7099">
      <w:pPr>
        <w:ind w:firstLine="567"/>
        <w:jc w:val="both"/>
        <w:rPr>
          <w:sz w:val="24"/>
          <w:szCs w:val="24"/>
        </w:rPr>
      </w:pPr>
    </w:p>
    <w:p w14:paraId="4AB33E4B" w14:textId="77777777" w:rsidR="00F40A32" w:rsidRPr="00F40A32" w:rsidRDefault="00F40A32" w:rsidP="00F40A32">
      <w:pPr>
        <w:pStyle w:val="Citao"/>
      </w:pPr>
      <w:r w:rsidRPr="00F40A32">
        <w:t>A grande dificuldade do Princípio da Proibição do Efeito de Confisco está na confirmação de sua ocorrência. Afinal, confisco é conceito indeterminado. Já se viu, quando do estudo do Princípio da Legalidade, que o conceito indeterminado é ferramenta de que se vale o legislador, diante da limitação da linguagem, para expressar situação sujeita a submissão.</w:t>
      </w:r>
    </w:p>
    <w:p w14:paraId="44827DBE" w14:textId="77777777" w:rsidR="00F40A32" w:rsidRPr="00F40A32" w:rsidRDefault="00F40A32" w:rsidP="00F40A32">
      <w:pPr>
        <w:pStyle w:val="Citao"/>
      </w:pPr>
      <w:r w:rsidRPr="00F40A32">
        <w:t>Se confisco é conceito indeterminado, nem por isso o Princípio ora examinado tem feição de princípio: apresenta uma regra. O intérprete/aplicador pode ter dificuldade em identificar uma situação de confisco; caracterizada esta, entretanto, o mandamento constitucional é claro, proibindo tal tributação.</w:t>
      </w:r>
    </w:p>
    <w:p w14:paraId="5D1EAB9A" w14:textId="77777777" w:rsidR="00F40A32" w:rsidRPr="00F40A32" w:rsidRDefault="00F40A32" w:rsidP="00F40A32">
      <w:pPr>
        <w:ind w:firstLine="567"/>
        <w:jc w:val="both"/>
        <w:rPr>
          <w:sz w:val="24"/>
          <w:szCs w:val="24"/>
        </w:rPr>
      </w:pPr>
    </w:p>
    <w:p w14:paraId="6CA9F517" w14:textId="6BC06D19" w:rsidR="00F40A32" w:rsidRDefault="00F40A32" w:rsidP="00F40A32">
      <w:pPr>
        <w:ind w:firstLine="567"/>
        <w:jc w:val="both"/>
        <w:rPr>
          <w:sz w:val="24"/>
          <w:szCs w:val="24"/>
        </w:rPr>
      </w:pPr>
      <w:r>
        <w:rPr>
          <w:sz w:val="24"/>
          <w:szCs w:val="24"/>
        </w:rPr>
        <w:t>Para ele, “</w:t>
      </w:r>
      <w:r w:rsidRPr="00F40A32">
        <w:rPr>
          <w:sz w:val="24"/>
          <w:szCs w:val="24"/>
        </w:rPr>
        <w:t>se é notório que uma tributação da quase totalidade da renda, ou do patrimônio, constitui confisco, uma parcela ínfima não terá tal efeito, ainda que tome por base o mesmo patrimônio ou a mesma renda</w:t>
      </w:r>
      <w:r>
        <w:rPr>
          <w:sz w:val="24"/>
          <w:szCs w:val="24"/>
        </w:rPr>
        <w:t>”. Logo, o que seria “parcela ínfima” ou “quase totalidade”? Logo, é “p</w:t>
      </w:r>
      <w:r w:rsidRPr="00F40A32">
        <w:rPr>
          <w:sz w:val="24"/>
          <w:szCs w:val="24"/>
        </w:rPr>
        <w:t>acífica a proibição do uso dos tributos com efeito de confisco, difícil é sua constatação</w:t>
      </w:r>
      <w:r>
        <w:rPr>
          <w:sz w:val="24"/>
          <w:szCs w:val="24"/>
        </w:rPr>
        <w:t>”</w:t>
      </w:r>
      <w:r>
        <w:rPr>
          <w:rStyle w:val="Refdenotaderodap"/>
          <w:sz w:val="24"/>
          <w:szCs w:val="24"/>
        </w:rPr>
        <w:footnoteReference w:id="11"/>
      </w:r>
      <w:r w:rsidRPr="00F40A32">
        <w:rPr>
          <w:sz w:val="24"/>
          <w:szCs w:val="24"/>
        </w:rPr>
        <w:t>.</w:t>
      </w:r>
    </w:p>
    <w:p w14:paraId="0BA52CBC" w14:textId="77777777" w:rsidR="0097506F" w:rsidRDefault="0097506F" w:rsidP="00F40A32">
      <w:pPr>
        <w:ind w:firstLine="567"/>
        <w:jc w:val="both"/>
        <w:rPr>
          <w:sz w:val="24"/>
          <w:szCs w:val="24"/>
        </w:rPr>
      </w:pPr>
    </w:p>
    <w:p w14:paraId="74012FD5" w14:textId="04BC3E2A" w:rsidR="0097506F" w:rsidRDefault="0097506F" w:rsidP="00F40A32">
      <w:pPr>
        <w:ind w:firstLine="567"/>
        <w:jc w:val="both"/>
        <w:rPr>
          <w:sz w:val="24"/>
          <w:szCs w:val="24"/>
        </w:rPr>
      </w:pPr>
      <w:proofErr w:type="spellStart"/>
      <w:r w:rsidRPr="0097506F">
        <w:rPr>
          <w:sz w:val="24"/>
          <w:szCs w:val="24"/>
        </w:rPr>
        <w:lastRenderedPageBreak/>
        <w:t>Schoueri</w:t>
      </w:r>
      <w:proofErr w:type="spellEnd"/>
      <w:r>
        <w:rPr>
          <w:sz w:val="24"/>
          <w:szCs w:val="24"/>
        </w:rPr>
        <w:t xml:space="preserve"> menciona </w:t>
      </w:r>
      <w:r w:rsidR="0069108B">
        <w:rPr>
          <w:sz w:val="24"/>
          <w:szCs w:val="24"/>
        </w:rPr>
        <w:t xml:space="preserve">um </w:t>
      </w:r>
      <w:r w:rsidR="0069108B" w:rsidRPr="0069108B">
        <w:rPr>
          <w:sz w:val="24"/>
          <w:szCs w:val="24"/>
        </w:rPr>
        <w:t>caso da Argentina</w:t>
      </w:r>
      <w:r w:rsidR="0069108B">
        <w:rPr>
          <w:sz w:val="24"/>
          <w:szCs w:val="24"/>
        </w:rPr>
        <w:t>, “</w:t>
      </w:r>
      <w:r w:rsidR="0069108B" w:rsidRPr="0069108B">
        <w:rPr>
          <w:sz w:val="24"/>
          <w:szCs w:val="24"/>
        </w:rPr>
        <w:t>onde a Corte Constitucional declarou inconstitucional o imposto imobiliário que consumisse mais de 33% da renda calculada segundo o rendimento normal médio de uma correta e adequada exploração</w:t>
      </w:r>
      <w:r w:rsidR="0069108B">
        <w:rPr>
          <w:sz w:val="24"/>
          <w:szCs w:val="24"/>
        </w:rPr>
        <w:t>”</w:t>
      </w:r>
      <w:r w:rsidR="0069108B">
        <w:rPr>
          <w:rStyle w:val="Refdenotaderodap"/>
          <w:sz w:val="24"/>
          <w:szCs w:val="24"/>
        </w:rPr>
        <w:footnoteReference w:id="12"/>
      </w:r>
      <w:r w:rsidR="0069108B">
        <w:rPr>
          <w:sz w:val="24"/>
          <w:szCs w:val="24"/>
        </w:rPr>
        <w:t xml:space="preserve">. </w:t>
      </w:r>
    </w:p>
    <w:p w14:paraId="39191228" w14:textId="77777777" w:rsidR="0069108B" w:rsidRDefault="0069108B" w:rsidP="00F40A32">
      <w:pPr>
        <w:ind w:firstLine="567"/>
        <w:jc w:val="both"/>
        <w:rPr>
          <w:sz w:val="24"/>
          <w:szCs w:val="24"/>
        </w:rPr>
      </w:pPr>
    </w:p>
    <w:p w14:paraId="7F78C526" w14:textId="7089040B" w:rsidR="0069108B" w:rsidRDefault="0069108B" w:rsidP="00F40A32">
      <w:pPr>
        <w:ind w:firstLine="567"/>
        <w:jc w:val="both"/>
        <w:rPr>
          <w:sz w:val="24"/>
          <w:szCs w:val="24"/>
        </w:rPr>
      </w:pPr>
      <w:r>
        <w:rPr>
          <w:sz w:val="24"/>
          <w:szCs w:val="24"/>
        </w:rPr>
        <w:t>O autor também citou outros casos, como na Alemanha, que foi estabelecido pela jurisprudência que “</w:t>
      </w:r>
      <w:r w:rsidRPr="0069108B">
        <w:rPr>
          <w:sz w:val="24"/>
          <w:szCs w:val="24"/>
        </w:rPr>
        <w:t xml:space="preserve">o poder público não se poderia apropriar de algo além de </w:t>
      </w:r>
      <w:r w:rsidRPr="0069108B">
        <w:rPr>
          <w:i/>
          <w:iCs/>
          <w:sz w:val="24"/>
          <w:szCs w:val="24"/>
        </w:rPr>
        <w:t>sua metade</w:t>
      </w:r>
      <w:r>
        <w:rPr>
          <w:sz w:val="24"/>
          <w:szCs w:val="24"/>
        </w:rPr>
        <w:t>”.</w:t>
      </w:r>
      <w:r>
        <w:rPr>
          <w:rStyle w:val="Refdenotaderodap"/>
          <w:sz w:val="24"/>
          <w:szCs w:val="24"/>
        </w:rPr>
        <w:footnoteReference w:id="13"/>
      </w:r>
    </w:p>
    <w:p w14:paraId="769562F4" w14:textId="77777777" w:rsidR="00F40A32" w:rsidRDefault="00F40A32" w:rsidP="009D7099">
      <w:pPr>
        <w:ind w:firstLine="567"/>
        <w:jc w:val="both"/>
        <w:rPr>
          <w:sz w:val="24"/>
          <w:szCs w:val="24"/>
        </w:rPr>
      </w:pPr>
    </w:p>
    <w:p w14:paraId="1352289B" w14:textId="77777777" w:rsidR="004D02A0" w:rsidRDefault="004D02A0" w:rsidP="009D7099">
      <w:pPr>
        <w:ind w:firstLine="567"/>
        <w:jc w:val="both"/>
        <w:rPr>
          <w:sz w:val="24"/>
          <w:szCs w:val="24"/>
        </w:rPr>
      </w:pPr>
      <w:r w:rsidRPr="009F6861">
        <w:rPr>
          <w:sz w:val="24"/>
          <w:szCs w:val="24"/>
        </w:rPr>
        <w:t xml:space="preserve">Ainda que a análise da </w:t>
      </w:r>
      <w:proofErr w:type="spellStart"/>
      <w:r w:rsidRPr="009F6861">
        <w:rPr>
          <w:sz w:val="24"/>
          <w:szCs w:val="24"/>
        </w:rPr>
        <w:t>confiscatoriedade</w:t>
      </w:r>
      <w:proofErr w:type="spellEnd"/>
      <w:r w:rsidRPr="009F6861">
        <w:rPr>
          <w:sz w:val="24"/>
          <w:szCs w:val="24"/>
        </w:rPr>
        <w:t xml:space="preserve"> dependa do contexto específico, alíquotas elevadas, como 49%, podem ser vistas como excessivas e desproporcionais, violando a vedação ao confisco</w:t>
      </w:r>
      <w:r>
        <w:rPr>
          <w:sz w:val="24"/>
          <w:szCs w:val="24"/>
        </w:rPr>
        <w:t>.</w:t>
      </w:r>
    </w:p>
    <w:p w14:paraId="2A79878E" w14:textId="77777777" w:rsidR="004D02A0" w:rsidRPr="00081ED0" w:rsidRDefault="004D02A0" w:rsidP="009D7099">
      <w:pPr>
        <w:ind w:firstLine="567"/>
        <w:jc w:val="both"/>
        <w:rPr>
          <w:sz w:val="24"/>
          <w:szCs w:val="24"/>
        </w:rPr>
      </w:pPr>
    </w:p>
    <w:p w14:paraId="39D898FC" w14:textId="77777777" w:rsidR="005D41BE" w:rsidRPr="00081ED0" w:rsidRDefault="005D41BE" w:rsidP="009D7099">
      <w:pPr>
        <w:ind w:firstLine="567"/>
        <w:jc w:val="both"/>
        <w:rPr>
          <w:b/>
          <w:sz w:val="24"/>
          <w:szCs w:val="24"/>
        </w:rPr>
      </w:pPr>
      <w:r w:rsidRPr="00081ED0">
        <w:rPr>
          <w:b/>
          <w:sz w:val="24"/>
          <w:szCs w:val="24"/>
        </w:rPr>
        <w:t xml:space="preserve">A exação instituída por Decreto </w:t>
      </w:r>
      <w:r w:rsidRPr="00081ED0">
        <w:rPr>
          <w:b/>
          <w:sz w:val="24"/>
          <w:szCs w:val="24"/>
          <w:u w:val="single"/>
        </w:rPr>
        <w:t>não</w:t>
      </w:r>
      <w:r w:rsidRPr="00081ED0">
        <w:rPr>
          <w:b/>
          <w:sz w:val="24"/>
          <w:szCs w:val="24"/>
        </w:rPr>
        <w:t xml:space="preserve"> é tributo. A exação instituída por decreto não é um tributo legítimo, pois não atende ao princípio da legalidade tributária, que exige lei específica para sua instituição.</w:t>
      </w:r>
    </w:p>
    <w:p w14:paraId="4571DC6E" w14:textId="77777777" w:rsidR="005D41BE" w:rsidRPr="00081ED0" w:rsidRDefault="005D41BE" w:rsidP="00081ED0">
      <w:pPr>
        <w:jc w:val="both"/>
        <w:rPr>
          <w:sz w:val="24"/>
          <w:szCs w:val="24"/>
        </w:rPr>
      </w:pPr>
    </w:p>
    <w:p w14:paraId="3C223C7B" w14:textId="77777777" w:rsidR="005D41BE" w:rsidRPr="00081ED0" w:rsidRDefault="005D41BE" w:rsidP="00081ED0">
      <w:pPr>
        <w:pStyle w:val="PargrafodaLista"/>
        <w:numPr>
          <w:ilvl w:val="0"/>
          <w:numId w:val="15"/>
        </w:numPr>
        <w:jc w:val="both"/>
        <w:rPr>
          <w:sz w:val="24"/>
          <w:szCs w:val="24"/>
          <w:u w:val="single"/>
        </w:rPr>
      </w:pPr>
      <w:r w:rsidRPr="00081ED0">
        <w:rPr>
          <w:sz w:val="24"/>
          <w:szCs w:val="24"/>
          <w:u w:val="single"/>
        </w:rPr>
        <w:t>Natureza Jurídica da Exação</w:t>
      </w:r>
      <w:r w:rsidRPr="00081ED0">
        <w:rPr>
          <w:sz w:val="24"/>
          <w:szCs w:val="24"/>
        </w:rPr>
        <w:t>:</w:t>
      </w:r>
    </w:p>
    <w:p w14:paraId="08771055" w14:textId="77777777" w:rsidR="005D41BE" w:rsidRPr="00081ED0" w:rsidRDefault="005D41BE" w:rsidP="00081ED0">
      <w:pPr>
        <w:jc w:val="both"/>
        <w:rPr>
          <w:sz w:val="24"/>
          <w:szCs w:val="24"/>
        </w:rPr>
      </w:pPr>
    </w:p>
    <w:p w14:paraId="5ABA3198" w14:textId="77777777" w:rsidR="005D41BE" w:rsidRPr="00081ED0" w:rsidRDefault="005D41BE" w:rsidP="009D7099">
      <w:pPr>
        <w:ind w:firstLine="567"/>
        <w:jc w:val="both"/>
        <w:rPr>
          <w:sz w:val="24"/>
          <w:szCs w:val="24"/>
        </w:rPr>
      </w:pPr>
      <w:r w:rsidRPr="00081ED0">
        <w:rPr>
          <w:sz w:val="24"/>
          <w:szCs w:val="24"/>
        </w:rPr>
        <w:t>Para ser considerada tributo, uma exação deve seguir os critérios estabelecidos pelo Código Tributário Nacional (CTN) e pela Constituição Federal, especialmente em relação à legalidade, anterioridade e tipicidade. Um imposto sobre a renda instituído por decreto não atende a esses requisitos e, portanto, não pode ser considerado um tributo legítimo.</w:t>
      </w:r>
    </w:p>
    <w:p w14:paraId="340D6E35" w14:textId="77777777" w:rsidR="00081ED0" w:rsidRPr="00081ED0" w:rsidRDefault="00081ED0" w:rsidP="009D7099">
      <w:pPr>
        <w:ind w:firstLine="567"/>
        <w:jc w:val="both"/>
        <w:rPr>
          <w:sz w:val="24"/>
          <w:szCs w:val="24"/>
        </w:rPr>
      </w:pPr>
    </w:p>
    <w:p w14:paraId="0249C6DE" w14:textId="35B1252A" w:rsidR="00081ED0" w:rsidRPr="00081ED0" w:rsidRDefault="00081ED0" w:rsidP="009D7099">
      <w:pPr>
        <w:ind w:firstLine="567"/>
        <w:jc w:val="both"/>
        <w:rPr>
          <w:sz w:val="24"/>
          <w:szCs w:val="24"/>
        </w:rPr>
      </w:pPr>
      <w:r w:rsidRPr="00866548">
        <w:rPr>
          <w:sz w:val="24"/>
          <w:szCs w:val="24"/>
        </w:rPr>
        <w:t xml:space="preserve">A exação instituída por Decreto não pode ser considerada um tributo, conforme os ensinamentos de Paulo de Barros Carvalho. Segundo ele, </w:t>
      </w:r>
      <w:r w:rsidR="00934D69" w:rsidRPr="00866548">
        <w:rPr>
          <w:sz w:val="24"/>
          <w:szCs w:val="24"/>
        </w:rPr>
        <w:t xml:space="preserve">é </w:t>
      </w:r>
      <w:r w:rsidRPr="00F40A32">
        <w:rPr>
          <w:i/>
          <w:sz w:val="24"/>
          <w:szCs w:val="24"/>
        </w:rPr>
        <w:t>"</w:t>
      </w:r>
      <w:r w:rsidR="00934D69" w:rsidRPr="00F40A32">
        <w:rPr>
          <w:i/>
        </w:rPr>
        <w:t>vedado à União, aos Estados, ao Distrito Federal e</w:t>
      </w:r>
      <w:r w:rsidR="00934D69" w:rsidRPr="00F40A32">
        <w:rPr>
          <w:i/>
          <w:sz w:val="24"/>
          <w:szCs w:val="24"/>
        </w:rPr>
        <w:t xml:space="preserve"> aos Municípios, sem prejuízo de outras garantias</w:t>
      </w:r>
      <w:r w:rsidR="00934D69" w:rsidRPr="00866548">
        <w:rPr>
          <w:i/>
          <w:sz w:val="24"/>
          <w:szCs w:val="24"/>
        </w:rPr>
        <w:t xml:space="preserve"> asseguradas ao contribuinte, instituir ou aumentar tributo sem lei que o estabeleça (princípio da estrita legalidade).</w:t>
      </w:r>
      <w:r w:rsidRPr="00866548">
        <w:rPr>
          <w:i/>
          <w:sz w:val="24"/>
          <w:szCs w:val="24"/>
        </w:rPr>
        <w:t>"</w:t>
      </w:r>
      <w:r w:rsidR="00934D69" w:rsidRPr="00866548">
        <w:rPr>
          <w:rStyle w:val="Refdenotaderodap"/>
          <w:i/>
          <w:sz w:val="24"/>
          <w:szCs w:val="24"/>
        </w:rPr>
        <w:footnoteReference w:id="14"/>
      </w:r>
      <w:r w:rsidRPr="00866548">
        <w:rPr>
          <w:sz w:val="24"/>
          <w:szCs w:val="24"/>
        </w:rPr>
        <w:t>​​. Para a criação ou majoração de tributos, é imprescindível que haja uma lei formal aprovada pelo Poder Legislativo, conforme estabelecido no artigo 150, I, da Constituição Federal.</w:t>
      </w:r>
    </w:p>
    <w:p w14:paraId="635EDD6E" w14:textId="77777777" w:rsidR="00081ED0" w:rsidRPr="00081ED0" w:rsidRDefault="00081ED0" w:rsidP="009D7099">
      <w:pPr>
        <w:ind w:firstLine="567"/>
        <w:jc w:val="both"/>
        <w:rPr>
          <w:sz w:val="24"/>
          <w:szCs w:val="24"/>
        </w:rPr>
      </w:pPr>
    </w:p>
    <w:p w14:paraId="4961BA4D" w14:textId="77777777" w:rsidR="00081ED0" w:rsidRPr="00081ED0" w:rsidRDefault="00081ED0" w:rsidP="009D7099">
      <w:pPr>
        <w:ind w:firstLine="567"/>
        <w:jc w:val="both"/>
        <w:rPr>
          <w:b/>
          <w:sz w:val="24"/>
          <w:szCs w:val="24"/>
        </w:rPr>
      </w:pPr>
      <w:r w:rsidRPr="00081ED0">
        <w:rPr>
          <w:b/>
          <w:sz w:val="24"/>
          <w:szCs w:val="24"/>
        </w:rPr>
        <w:t>Para enfrentar a alegação do procurador do município, em síntese, pode-se argumentar que a natureza jurídica da exação é determinada por suas características (obrigação pecuniária, compulsoriedade, finalidade arrecadatória), não pela nomenclatura. Portanto, mesmo que não seja chamada de tributo, deve obedecer aos princípios constitucionais e estar sujeita ao regime tributário.</w:t>
      </w:r>
    </w:p>
    <w:p w14:paraId="4534F7AF" w14:textId="77777777" w:rsidR="00081ED0" w:rsidRPr="00081ED0" w:rsidRDefault="00081ED0" w:rsidP="00081ED0">
      <w:pPr>
        <w:jc w:val="both"/>
        <w:rPr>
          <w:b/>
          <w:sz w:val="24"/>
          <w:szCs w:val="24"/>
        </w:rPr>
      </w:pPr>
    </w:p>
    <w:p w14:paraId="1C0EDB01" w14:textId="77777777" w:rsidR="00081ED0" w:rsidRPr="00081ED0" w:rsidRDefault="005D41BE" w:rsidP="00081ED0">
      <w:pPr>
        <w:pStyle w:val="PargrafodaLista"/>
        <w:numPr>
          <w:ilvl w:val="0"/>
          <w:numId w:val="15"/>
        </w:numPr>
        <w:jc w:val="both"/>
        <w:rPr>
          <w:sz w:val="24"/>
          <w:szCs w:val="24"/>
        </w:rPr>
      </w:pPr>
      <w:r w:rsidRPr="00081ED0">
        <w:rPr>
          <w:sz w:val="24"/>
          <w:szCs w:val="24"/>
        </w:rPr>
        <w:t>Argumento Jurídico: A simples designação de uma exação como "não-tributo" não a exime do cumprimento dos princípios constitucionais aplicáveis à tributação. A exação possui características de tributo (obrigação pecuniária, compulsoriedade, finalidade arrecadatória), devendo, portanto, respeitar o regime jurídico tributário.</w:t>
      </w:r>
    </w:p>
    <w:p w14:paraId="00F47475" w14:textId="40F6E911" w:rsidR="00081ED0" w:rsidRPr="005B27C4" w:rsidRDefault="00081ED0" w:rsidP="00D0182C">
      <w:pPr>
        <w:pStyle w:val="PargrafodaLista"/>
        <w:numPr>
          <w:ilvl w:val="0"/>
          <w:numId w:val="15"/>
        </w:numPr>
        <w:jc w:val="both"/>
        <w:rPr>
          <w:iCs/>
          <w:sz w:val="24"/>
          <w:szCs w:val="24"/>
        </w:rPr>
      </w:pPr>
      <w:r w:rsidRPr="005B27C4">
        <w:rPr>
          <w:sz w:val="24"/>
          <w:szCs w:val="24"/>
        </w:rPr>
        <w:t xml:space="preserve">A exação, embora não formalmente classificada como tributo por não ter sido instituída por lei, se apresenta materialmente como tal. Isto porque, para ser considerada tributo, uma exação precisa preencher os critérios de </w:t>
      </w:r>
      <w:r w:rsidRPr="005B27C4">
        <w:rPr>
          <w:sz w:val="24"/>
          <w:szCs w:val="24"/>
          <w:u w:val="single"/>
        </w:rPr>
        <w:t>obrigatoriedade</w:t>
      </w:r>
      <w:r w:rsidRPr="005B27C4">
        <w:rPr>
          <w:sz w:val="24"/>
          <w:szCs w:val="24"/>
        </w:rPr>
        <w:t xml:space="preserve">, </w:t>
      </w:r>
      <w:r w:rsidRPr="005B27C4">
        <w:rPr>
          <w:sz w:val="24"/>
          <w:szCs w:val="24"/>
          <w:u w:val="single"/>
        </w:rPr>
        <w:t>generalidade</w:t>
      </w:r>
      <w:r w:rsidRPr="005B27C4">
        <w:rPr>
          <w:sz w:val="24"/>
          <w:szCs w:val="24"/>
        </w:rPr>
        <w:t xml:space="preserve"> e </w:t>
      </w:r>
      <w:r w:rsidRPr="005B27C4">
        <w:rPr>
          <w:sz w:val="24"/>
          <w:szCs w:val="24"/>
          <w:u w:val="single"/>
        </w:rPr>
        <w:t>destinação</w:t>
      </w:r>
      <w:r w:rsidRPr="005B27C4">
        <w:rPr>
          <w:sz w:val="24"/>
          <w:szCs w:val="24"/>
        </w:rPr>
        <w:t xml:space="preserve"> ao custeio das atividades do Estado</w:t>
      </w:r>
      <w:r w:rsidR="005B27C4">
        <w:rPr>
          <w:sz w:val="24"/>
          <w:szCs w:val="24"/>
        </w:rPr>
        <w:t>. C</w:t>
      </w:r>
      <w:r w:rsidRPr="005B27C4">
        <w:rPr>
          <w:sz w:val="24"/>
          <w:szCs w:val="24"/>
        </w:rPr>
        <w:t xml:space="preserve">onforme os conceitos apresentados por Paulo de Barros Carvalho: </w:t>
      </w:r>
      <w:r w:rsidRPr="005B27C4">
        <w:rPr>
          <w:i/>
          <w:sz w:val="24"/>
          <w:szCs w:val="24"/>
        </w:rPr>
        <w:lastRenderedPageBreak/>
        <w:t>"Tributo é toda prestação pecuniária compulsória"</w:t>
      </w:r>
      <w:r w:rsidR="00D0182C" w:rsidRPr="005B27C4">
        <w:rPr>
          <w:i/>
          <w:sz w:val="24"/>
          <w:szCs w:val="24"/>
        </w:rPr>
        <w:t xml:space="preserve">, </w:t>
      </w:r>
      <w:r w:rsidR="00D0182C" w:rsidRPr="005B27C4">
        <w:rPr>
          <w:iCs/>
          <w:sz w:val="24"/>
          <w:szCs w:val="24"/>
        </w:rPr>
        <w:t xml:space="preserve">reportando-se o </w:t>
      </w:r>
      <w:r w:rsidR="00D0182C" w:rsidRPr="005B27C4">
        <w:rPr>
          <w:i/>
          <w:sz w:val="24"/>
          <w:szCs w:val="24"/>
        </w:rPr>
        <w:t xml:space="preserve">“legislador a uma conduta que ele regula com o </w:t>
      </w:r>
      <w:proofErr w:type="spellStart"/>
      <w:r w:rsidR="00D0182C" w:rsidRPr="005B27C4">
        <w:rPr>
          <w:i/>
          <w:sz w:val="24"/>
          <w:szCs w:val="24"/>
        </w:rPr>
        <w:t>dever-ser</w:t>
      </w:r>
      <w:proofErr w:type="spellEnd"/>
      <w:r w:rsidR="00D0182C" w:rsidRPr="005B27C4">
        <w:rPr>
          <w:i/>
          <w:sz w:val="24"/>
          <w:szCs w:val="24"/>
        </w:rPr>
        <w:t xml:space="preserve"> próprio do direito, numa de suas três modalidades — obrigatório”</w:t>
      </w:r>
      <w:r w:rsidR="00D0182C" w:rsidRPr="005B27C4">
        <w:rPr>
          <w:rStyle w:val="Refdenotaderodap"/>
          <w:iCs/>
          <w:sz w:val="24"/>
          <w:szCs w:val="24"/>
        </w:rPr>
        <w:footnoteReference w:id="15"/>
      </w:r>
      <w:r w:rsidRPr="005B27C4">
        <w:rPr>
          <w:sz w:val="24"/>
          <w:szCs w:val="24"/>
        </w:rPr>
        <w:t>​.</w:t>
      </w:r>
    </w:p>
    <w:p w14:paraId="3D245DBB" w14:textId="28737221" w:rsidR="00081ED0" w:rsidRPr="00081ED0" w:rsidRDefault="00081ED0" w:rsidP="00081ED0">
      <w:pPr>
        <w:pStyle w:val="PargrafodaLista"/>
        <w:numPr>
          <w:ilvl w:val="0"/>
          <w:numId w:val="15"/>
        </w:numPr>
        <w:jc w:val="both"/>
        <w:rPr>
          <w:sz w:val="24"/>
          <w:szCs w:val="24"/>
        </w:rPr>
      </w:pPr>
      <w:r w:rsidRPr="00081ED0">
        <w:rPr>
          <w:sz w:val="24"/>
          <w:szCs w:val="24"/>
        </w:rPr>
        <w:t xml:space="preserve">Implicações Constitucionais: A tentativa de instituir tributo por meio de Decreto viola diretamente o princípio da legalidade, como explicitado no artigo 150, I, da Constituição Federal, </w:t>
      </w:r>
      <w:r w:rsidR="005B27C4" w:rsidRPr="00081ED0">
        <w:rPr>
          <w:sz w:val="24"/>
          <w:szCs w:val="24"/>
        </w:rPr>
        <w:t>e</w:t>
      </w:r>
      <w:r w:rsidRPr="00081ED0">
        <w:rPr>
          <w:sz w:val="24"/>
          <w:szCs w:val="24"/>
        </w:rPr>
        <w:t xml:space="preserve"> o princípio da capacidade contributiva, pois um tributo não pode ser instituído ou majorado sem a devida participação do Legislativo.</w:t>
      </w:r>
    </w:p>
    <w:p w14:paraId="372CB5BD" w14:textId="77777777" w:rsidR="00081ED0" w:rsidRPr="00081ED0" w:rsidRDefault="005D41BE" w:rsidP="00081ED0">
      <w:pPr>
        <w:pStyle w:val="PargrafodaLista"/>
        <w:numPr>
          <w:ilvl w:val="0"/>
          <w:numId w:val="15"/>
        </w:numPr>
        <w:jc w:val="both"/>
        <w:rPr>
          <w:sz w:val="24"/>
          <w:szCs w:val="24"/>
        </w:rPr>
      </w:pPr>
      <w:r w:rsidRPr="00081ED0">
        <w:rPr>
          <w:sz w:val="24"/>
          <w:szCs w:val="24"/>
        </w:rPr>
        <w:t>Precedentes Jurídicos: Tribunais superiores já enfrentaram situações em que exações, independentemente de sua nomenclatura, foram submetidas ao regime tributário se apresentassem natureza tributária (ex.: taxas, contribuições, impostos).</w:t>
      </w:r>
    </w:p>
    <w:p w14:paraId="4944DAB1" w14:textId="77777777" w:rsidR="005D41BE" w:rsidRPr="00081ED0" w:rsidRDefault="005D41BE" w:rsidP="00081ED0">
      <w:pPr>
        <w:pStyle w:val="PargrafodaLista"/>
        <w:numPr>
          <w:ilvl w:val="0"/>
          <w:numId w:val="15"/>
        </w:numPr>
        <w:jc w:val="both"/>
        <w:rPr>
          <w:sz w:val="24"/>
          <w:szCs w:val="24"/>
        </w:rPr>
      </w:pPr>
      <w:r w:rsidRPr="00081ED0">
        <w:rPr>
          <w:sz w:val="24"/>
          <w:szCs w:val="24"/>
        </w:rPr>
        <w:t>Natureza Coativa: O fato de a exação ser cobrada de forma coativa e com finalidade arrecadatória reflete características típicas de tributo. Portanto, deve obedecer aos princípios da legalidade, anterioridade e não-</w:t>
      </w:r>
      <w:proofErr w:type="spellStart"/>
      <w:r w:rsidRPr="00081ED0">
        <w:rPr>
          <w:sz w:val="24"/>
          <w:szCs w:val="24"/>
        </w:rPr>
        <w:t>confiscatoriedade</w:t>
      </w:r>
      <w:proofErr w:type="spellEnd"/>
      <w:r w:rsidRPr="00081ED0">
        <w:rPr>
          <w:sz w:val="24"/>
          <w:szCs w:val="24"/>
        </w:rPr>
        <w:t>.</w:t>
      </w:r>
    </w:p>
    <w:p w14:paraId="718699A1" w14:textId="77777777" w:rsidR="00081ED0" w:rsidRPr="00081ED0" w:rsidRDefault="00081ED0" w:rsidP="00081ED0">
      <w:pPr>
        <w:jc w:val="both"/>
        <w:rPr>
          <w:sz w:val="24"/>
          <w:szCs w:val="24"/>
        </w:rPr>
      </w:pPr>
    </w:p>
    <w:p w14:paraId="53C0B3D1" w14:textId="77777777" w:rsidR="00081ED0" w:rsidRPr="00081ED0" w:rsidRDefault="00081ED0" w:rsidP="009D7099">
      <w:pPr>
        <w:ind w:firstLine="567"/>
        <w:jc w:val="both"/>
        <w:rPr>
          <w:sz w:val="24"/>
          <w:szCs w:val="24"/>
        </w:rPr>
      </w:pPr>
      <w:r w:rsidRPr="00081ED0">
        <w:rPr>
          <w:sz w:val="24"/>
          <w:szCs w:val="24"/>
        </w:rPr>
        <w:t>Portanto, a alegação do procurador do município não se sustenta, visto que qualquer exação que preencha os requisitos materiais de um tributo deve, obrigatoriamente, seguir o regime tributário, incluindo a necessidade de instituição por lei.</w:t>
      </w:r>
    </w:p>
    <w:p w14:paraId="22BF3C5C" w14:textId="77777777" w:rsidR="00081ED0" w:rsidRPr="00081ED0" w:rsidRDefault="00081ED0" w:rsidP="00081ED0">
      <w:pPr>
        <w:jc w:val="both"/>
        <w:rPr>
          <w:sz w:val="24"/>
          <w:szCs w:val="24"/>
        </w:rPr>
      </w:pPr>
    </w:p>
    <w:p w14:paraId="1D7B4A53" w14:textId="77777777" w:rsidR="005D41BE" w:rsidRPr="00081ED0" w:rsidRDefault="00081ED0" w:rsidP="00081ED0">
      <w:pPr>
        <w:jc w:val="both"/>
        <w:rPr>
          <w:b/>
          <w:sz w:val="24"/>
          <w:szCs w:val="24"/>
          <w:u w:val="single"/>
        </w:rPr>
      </w:pPr>
      <w:r w:rsidRPr="00081ED0">
        <w:rPr>
          <w:b/>
          <w:sz w:val="24"/>
          <w:szCs w:val="24"/>
          <w:u w:val="single"/>
        </w:rPr>
        <w:t>Conclusões</w:t>
      </w:r>
      <w:r w:rsidRPr="00081ED0">
        <w:rPr>
          <w:b/>
          <w:sz w:val="24"/>
          <w:szCs w:val="24"/>
        </w:rPr>
        <w:t>:</w:t>
      </w:r>
    </w:p>
    <w:p w14:paraId="1DDF0EC6" w14:textId="77777777" w:rsidR="00081ED0" w:rsidRPr="00081ED0" w:rsidRDefault="00081ED0" w:rsidP="00081ED0">
      <w:pPr>
        <w:jc w:val="both"/>
        <w:rPr>
          <w:b/>
          <w:sz w:val="24"/>
          <w:szCs w:val="24"/>
          <w:u w:val="single"/>
        </w:rPr>
      </w:pPr>
    </w:p>
    <w:p w14:paraId="11467363" w14:textId="77777777" w:rsidR="005D41BE" w:rsidRPr="00081ED0" w:rsidRDefault="005D41BE" w:rsidP="00081ED0">
      <w:pPr>
        <w:pStyle w:val="PargrafodaLista"/>
        <w:numPr>
          <w:ilvl w:val="0"/>
          <w:numId w:val="16"/>
        </w:numPr>
        <w:jc w:val="both"/>
        <w:rPr>
          <w:sz w:val="24"/>
          <w:szCs w:val="24"/>
        </w:rPr>
      </w:pPr>
      <w:r w:rsidRPr="00081ED0">
        <w:rPr>
          <w:sz w:val="24"/>
          <w:szCs w:val="24"/>
        </w:rPr>
        <w:t>Violação Constitucional: A instituição de um imposto sobre a renda por decreto com alíquota de 65% viola os princípios da legalidade, anterioridade, isonomia e não-</w:t>
      </w:r>
      <w:proofErr w:type="spellStart"/>
      <w:r w:rsidRPr="00081ED0">
        <w:rPr>
          <w:sz w:val="24"/>
          <w:szCs w:val="24"/>
        </w:rPr>
        <w:t>confiscatoriedade</w:t>
      </w:r>
      <w:proofErr w:type="spellEnd"/>
      <w:r w:rsidRPr="00081ED0">
        <w:rPr>
          <w:sz w:val="24"/>
          <w:szCs w:val="24"/>
        </w:rPr>
        <w:t>.</w:t>
      </w:r>
    </w:p>
    <w:p w14:paraId="56C54BF2" w14:textId="77777777" w:rsidR="005D41BE" w:rsidRPr="00081ED0" w:rsidRDefault="005D41BE" w:rsidP="00081ED0">
      <w:pPr>
        <w:pStyle w:val="PargrafodaLista"/>
        <w:numPr>
          <w:ilvl w:val="0"/>
          <w:numId w:val="16"/>
        </w:numPr>
        <w:jc w:val="both"/>
        <w:rPr>
          <w:sz w:val="24"/>
          <w:szCs w:val="24"/>
        </w:rPr>
      </w:pPr>
      <w:proofErr w:type="spellStart"/>
      <w:r w:rsidRPr="00081ED0">
        <w:rPr>
          <w:sz w:val="24"/>
          <w:szCs w:val="24"/>
        </w:rPr>
        <w:t>Confiscatoriedade</w:t>
      </w:r>
      <w:proofErr w:type="spellEnd"/>
      <w:r w:rsidRPr="00081ED0">
        <w:rPr>
          <w:sz w:val="24"/>
          <w:szCs w:val="24"/>
        </w:rPr>
        <w:t>: Uma alíquota de 65% é claramente confiscatória. Uma alíquota de 49%, embora inferior, ainda pode ser considerada excessiva e confiscatória dependendo do contexto.</w:t>
      </w:r>
    </w:p>
    <w:p w14:paraId="69FF587B" w14:textId="77777777" w:rsidR="005D41BE" w:rsidRPr="00081ED0" w:rsidRDefault="005D41BE" w:rsidP="00081ED0">
      <w:pPr>
        <w:pStyle w:val="PargrafodaLista"/>
        <w:numPr>
          <w:ilvl w:val="0"/>
          <w:numId w:val="16"/>
        </w:numPr>
        <w:jc w:val="both"/>
        <w:rPr>
          <w:sz w:val="24"/>
          <w:szCs w:val="24"/>
        </w:rPr>
      </w:pPr>
      <w:r w:rsidRPr="00081ED0">
        <w:rPr>
          <w:sz w:val="24"/>
          <w:szCs w:val="24"/>
        </w:rPr>
        <w:t>Natureza de Tributo: A exação instituída por decreto, apresentando características de tributo, deve ser tratada como tal e, portanto, sujeita aos princípios e normas do regime tributário. A alegação de que não é tributo é insustentável, pois a natureza jurídica da exação é determinada por suas características e não por sua nomenclatura.</w:t>
      </w:r>
    </w:p>
    <w:p w14:paraId="03F25129" w14:textId="77777777" w:rsidR="001B06F8" w:rsidRPr="00081ED0" w:rsidRDefault="001B06F8" w:rsidP="00081ED0">
      <w:pPr>
        <w:jc w:val="both"/>
        <w:rPr>
          <w:sz w:val="24"/>
          <w:szCs w:val="24"/>
        </w:rPr>
      </w:pPr>
    </w:p>
    <w:p w14:paraId="022049A5" w14:textId="77777777" w:rsidR="001B06F8" w:rsidRPr="00081ED0" w:rsidRDefault="001B06F8" w:rsidP="00081ED0">
      <w:pPr>
        <w:jc w:val="both"/>
        <w:rPr>
          <w:sz w:val="24"/>
          <w:szCs w:val="24"/>
        </w:rPr>
      </w:pPr>
    </w:p>
    <w:p w14:paraId="2BB5F7D0" w14:textId="77777777" w:rsidR="00081ED0" w:rsidRPr="00081ED0" w:rsidRDefault="00081ED0" w:rsidP="00081ED0">
      <w:pPr>
        <w:jc w:val="both"/>
        <w:rPr>
          <w:b/>
          <w:sz w:val="24"/>
          <w:szCs w:val="24"/>
          <w:u w:val="single"/>
        </w:rPr>
      </w:pPr>
      <w:r w:rsidRPr="00081ED0">
        <w:rPr>
          <w:b/>
          <w:sz w:val="24"/>
          <w:szCs w:val="24"/>
          <w:u w:val="single"/>
        </w:rPr>
        <w:t>REFERÊNCIAS:</w:t>
      </w:r>
    </w:p>
    <w:p w14:paraId="7EF0BB3B" w14:textId="77777777" w:rsidR="00081ED0" w:rsidRPr="00081ED0" w:rsidRDefault="00081ED0" w:rsidP="00081ED0">
      <w:pPr>
        <w:jc w:val="both"/>
        <w:rPr>
          <w:sz w:val="24"/>
          <w:szCs w:val="24"/>
        </w:rPr>
      </w:pPr>
    </w:p>
    <w:p w14:paraId="744BC103" w14:textId="77777777" w:rsidR="00081ED0" w:rsidRDefault="00081ED0" w:rsidP="00081ED0">
      <w:pPr>
        <w:jc w:val="both"/>
        <w:rPr>
          <w:sz w:val="24"/>
          <w:szCs w:val="24"/>
        </w:rPr>
      </w:pPr>
      <w:r w:rsidRPr="00081ED0">
        <w:rPr>
          <w:sz w:val="24"/>
          <w:szCs w:val="24"/>
        </w:rPr>
        <w:t xml:space="preserve">CARVALHO, Paulo de Barros. </w:t>
      </w:r>
      <w:r w:rsidRPr="00081ED0">
        <w:rPr>
          <w:i/>
          <w:sz w:val="24"/>
          <w:szCs w:val="24"/>
        </w:rPr>
        <w:t>Curso de direito tributário</w:t>
      </w:r>
      <w:r w:rsidRPr="00081ED0">
        <w:rPr>
          <w:sz w:val="24"/>
          <w:szCs w:val="24"/>
        </w:rPr>
        <w:t>. 31. ed. São Paulo, Noeses, 2021.</w:t>
      </w:r>
    </w:p>
    <w:p w14:paraId="079A09C7" w14:textId="77777777" w:rsidR="009D7099" w:rsidRDefault="009D7099" w:rsidP="00081ED0">
      <w:pPr>
        <w:jc w:val="both"/>
        <w:rPr>
          <w:sz w:val="24"/>
          <w:szCs w:val="24"/>
        </w:rPr>
      </w:pPr>
    </w:p>
    <w:p w14:paraId="7DCB6880" w14:textId="6049674D" w:rsidR="005B27C4" w:rsidRPr="00081ED0" w:rsidRDefault="009D7099" w:rsidP="00081ED0">
      <w:pPr>
        <w:jc w:val="both"/>
        <w:rPr>
          <w:sz w:val="24"/>
          <w:szCs w:val="24"/>
        </w:rPr>
      </w:pPr>
      <w:r w:rsidRPr="009D7099">
        <w:rPr>
          <w:sz w:val="24"/>
          <w:szCs w:val="24"/>
        </w:rPr>
        <w:t xml:space="preserve">SCHOUERI, </w:t>
      </w:r>
      <w:proofErr w:type="spellStart"/>
      <w:r w:rsidRPr="009D7099">
        <w:rPr>
          <w:sz w:val="24"/>
          <w:szCs w:val="24"/>
        </w:rPr>
        <w:t>Luis</w:t>
      </w:r>
      <w:proofErr w:type="spellEnd"/>
      <w:r w:rsidRPr="009D7099">
        <w:rPr>
          <w:sz w:val="24"/>
          <w:szCs w:val="24"/>
        </w:rPr>
        <w:t xml:space="preserve"> E. </w:t>
      </w:r>
      <w:r w:rsidRPr="006B5C21">
        <w:rPr>
          <w:i/>
          <w:iCs/>
          <w:sz w:val="24"/>
          <w:szCs w:val="24"/>
        </w:rPr>
        <w:t>Direito tributário</w:t>
      </w:r>
      <w:r w:rsidRPr="009D7099">
        <w:rPr>
          <w:sz w:val="24"/>
          <w:szCs w:val="24"/>
        </w:rPr>
        <w:t xml:space="preserve">. </w:t>
      </w:r>
      <w:r>
        <w:rPr>
          <w:sz w:val="24"/>
          <w:szCs w:val="24"/>
        </w:rPr>
        <w:t>São Paulo</w:t>
      </w:r>
      <w:r w:rsidRPr="009D7099">
        <w:rPr>
          <w:sz w:val="24"/>
          <w:szCs w:val="24"/>
        </w:rPr>
        <w:t>: SRV Editora LTDA, 2024. E-book. ISBN 9788553620586. Disponível em: https://integrada.minhabiblioteca.com.br/#/books/9788553620586/. Acesso em: 25 mai. 2024.</w:t>
      </w:r>
    </w:p>
    <w:sectPr w:rsidR="005B27C4" w:rsidRPr="00081ED0" w:rsidSect="006470A1">
      <w:footerReference w:type="default" r:id="rId9"/>
      <w:pgSz w:w="11906" w:h="16838"/>
      <w:pgMar w:top="1417" w:right="1701" w:bottom="1417" w:left="1701" w:header="708" w:footer="3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8764C0" w14:textId="77777777" w:rsidR="0051248A" w:rsidRDefault="0051248A" w:rsidP="00CE6FA4">
      <w:r>
        <w:separator/>
      </w:r>
    </w:p>
  </w:endnote>
  <w:endnote w:type="continuationSeparator" w:id="0">
    <w:p w14:paraId="0667E93C" w14:textId="77777777" w:rsidR="0051248A" w:rsidRDefault="0051248A" w:rsidP="00CE6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ova Cond">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85170706"/>
      <w:docPartObj>
        <w:docPartGallery w:val="Page Numbers (Bottom of Page)"/>
        <w:docPartUnique/>
      </w:docPartObj>
    </w:sdtPr>
    <w:sdtContent>
      <w:sdt>
        <w:sdtPr>
          <w:id w:val="-1769616900"/>
          <w:docPartObj>
            <w:docPartGallery w:val="Page Numbers (Top of Page)"/>
            <w:docPartUnique/>
          </w:docPartObj>
        </w:sdtPr>
        <w:sdtContent>
          <w:p w14:paraId="1DC10FDC" w14:textId="6173D11D" w:rsidR="006470A1" w:rsidRDefault="006470A1">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0528C62" w14:textId="77777777" w:rsidR="006470A1" w:rsidRDefault="006470A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05D94F" w14:textId="77777777" w:rsidR="0051248A" w:rsidRDefault="0051248A" w:rsidP="00CE6FA4">
      <w:r>
        <w:separator/>
      </w:r>
    </w:p>
  </w:footnote>
  <w:footnote w:type="continuationSeparator" w:id="0">
    <w:p w14:paraId="5290CFA8" w14:textId="77777777" w:rsidR="0051248A" w:rsidRDefault="0051248A" w:rsidP="00CE6FA4">
      <w:r>
        <w:continuationSeparator/>
      </w:r>
    </w:p>
  </w:footnote>
  <w:footnote w:id="1">
    <w:p w14:paraId="0E15402F" w14:textId="08F8E602" w:rsidR="00823718" w:rsidRPr="00C53D3F" w:rsidRDefault="00823718" w:rsidP="00C53D3F">
      <w:pPr>
        <w:pStyle w:val="Textodenotaderodap"/>
        <w:jc w:val="both"/>
      </w:pPr>
      <w:r w:rsidRPr="00C53D3F">
        <w:rPr>
          <w:rStyle w:val="Refdenotaderodap"/>
        </w:rPr>
        <w:footnoteRef/>
      </w:r>
      <w:r w:rsidRPr="00C53D3F">
        <w:t xml:space="preserve"> </w:t>
      </w:r>
      <w:r w:rsidR="006B5C21" w:rsidRPr="006B5C21">
        <w:t xml:space="preserve">SCHOUERI, </w:t>
      </w:r>
      <w:proofErr w:type="spellStart"/>
      <w:r w:rsidR="006B5C21" w:rsidRPr="006B5C21">
        <w:t>Luis</w:t>
      </w:r>
      <w:proofErr w:type="spellEnd"/>
      <w:r w:rsidR="006B5C21" w:rsidRPr="006B5C21">
        <w:t xml:space="preserve"> E. </w:t>
      </w:r>
      <w:r w:rsidR="006B5C21" w:rsidRPr="006B5C21">
        <w:rPr>
          <w:i/>
          <w:iCs/>
        </w:rPr>
        <w:t>Direito tributário</w:t>
      </w:r>
      <w:r w:rsidR="006B5C21" w:rsidRPr="006B5C21">
        <w:t>. São Paulo: SRV Editora LTDA, 2024. E-book. ISBN 9788553620586. Disponível em: https://integrada.minhabiblioteca.com.br/#/books/9788553620586/. Acesso em: 25 mai. 2024</w:t>
      </w:r>
      <w:r w:rsidR="006B5C21">
        <w:t xml:space="preserve">, p. </w:t>
      </w:r>
      <w:r w:rsidRPr="00C53D3F">
        <w:t>174</w:t>
      </w:r>
      <w:r w:rsidR="006B5C21">
        <w:t>.</w:t>
      </w:r>
    </w:p>
  </w:footnote>
  <w:footnote w:id="2">
    <w:p w14:paraId="647483FE" w14:textId="23E2A1E7" w:rsidR="00823718" w:rsidRPr="00FF2AB8" w:rsidRDefault="00823718" w:rsidP="00C53D3F">
      <w:pPr>
        <w:pStyle w:val="Textodenotaderodap"/>
        <w:jc w:val="both"/>
        <w:rPr>
          <w:lang w:val="en-US"/>
        </w:rPr>
      </w:pPr>
      <w:r w:rsidRPr="00C53D3F">
        <w:rPr>
          <w:rStyle w:val="Refdenotaderodap"/>
        </w:rPr>
        <w:footnoteRef/>
      </w:r>
      <w:r w:rsidRPr="00FF2AB8">
        <w:rPr>
          <w:lang w:val="en-US"/>
        </w:rPr>
        <w:t xml:space="preserve"> </w:t>
      </w:r>
      <w:r w:rsidR="006B5C21" w:rsidRPr="00FF2AB8">
        <w:rPr>
          <w:lang w:val="en-US"/>
        </w:rPr>
        <w:t xml:space="preserve">SCHOUERI, Luis E. </w:t>
      </w:r>
      <w:r w:rsidR="00FF2AB8" w:rsidRPr="00FF2AB8">
        <w:rPr>
          <w:i/>
          <w:iCs/>
          <w:lang w:val="en-US"/>
        </w:rPr>
        <w:t>Op. Cit.</w:t>
      </w:r>
      <w:r w:rsidR="006B5C21" w:rsidRPr="00FF2AB8">
        <w:rPr>
          <w:lang w:val="en-US"/>
        </w:rPr>
        <w:t xml:space="preserve">, p. </w:t>
      </w:r>
      <w:r w:rsidRPr="00FF2AB8">
        <w:rPr>
          <w:lang w:val="en-US"/>
        </w:rPr>
        <w:t>176</w:t>
      </w:r>
      <w:r w:rsidR="006B5C21" w:rsidRPr="00FF2AB8">
        <w:rPr>
          <w:lang w:val="en-US"/>
        </w:rPr>
        <w:t>.</w:t>
      </w:r>
    </w:p>
  </w:footnote>
  <w:footnote w:id="3">
    <w:p w14:paraId="4BB01823" w14:textId="0819D1E2" w:rsidR="00CE6FA4" w:rsidRPr="003C6F1C" w:rsidRDefault="00CE6FA4" w:rsidP="00C53D3F">
      <w:pPr>
        <w:pStyle w:val="Textodenotaderodap"/>
        <w:jc w:val="both"/>
      </w:pPr>
      <w:r w:rsidRPr="003C6F1C">
        <w:rPr>
          <w:rStyle w:val="Refdenotaderodap"/>
        </w:rPr>
        <w:footnoteRef/>
      </w:r>
      <w:r w:rsidRPr="003C6F1C">
        <w:t xml:space="preserve"> </w:t>
      </w:r>
      <w:r w:rsidR="003C6F1C" w:rsidRPr="003C6F1C">
        <w:t xml:space="preserve">CARVALHO, Paulo de Barros. </w:t>
      </w:r>
      <w:r w:rsidR="003C6F1C" w:rsidRPr="003C6F1C">
        <w:rPr>
          <w:i/>
          <w:iCs/>
        </w:rPr>
        <w:t>Curso de direito tributário</w:t>
      </w:r>
      <w:r w:rsidR="003C6F1C" w:rsidRPr="003C6F1C">
        <w:t>. 31. ed. São Paulo, Noeses, 2021</w:t>
      </w:r>
      <w:r w:rsidR="003C6F1C" w:rsidRPr="003C6F1C">
        <w:t xml:space="preserve">, </w:t>
      </w:r>
      <w:r w:rsidRPr="003C6F1C">
        <w:t>p. 29-30.</w:t>
      </w:r>
    </w:p>
  </w:footnote>
  <w:footnote w:id="4">
    <w:p w14:paraId="636D6A41" w14:textId="5954682E" w:rsidR="00CE6FA4" w:rsidRPr="00C53D3F" w:rsidRDefault="00CE6FA4" w:rsidP="00C53D3F">
      <w:pPr>
        <w:pStyle w:val="Textodenotaderodap"/>
        <w:jc w:val="both"/>
      </w:pPr>
      <w:r w:rsidRPr="003C6F1C">
        <w:rPr>
          <w:rStyle w:val="Refdenotaderodap"/>
        </w:rPr>
        <w:footnoteRef/>
      </w:r>
      <w:r w:rsidRPr="003C6F1C">
        <w:t xml:space="preserve"> </w:t>
      </w:r>
      <w:r w:rsidR="003C6F1C" w:rsidRPr="003C6F1C">
        <w:rPr>
          <w:i/>
          <w:iCs/>
        </w:rPr>
        <w:t>Idem</w:t>
      </w:r>
      <w:r w:rsidR="003C6F1C" w:rsidRPr="003C6F1C">
        <w:t xml:space="preserve">, </w:t>
      </w:r>
      <w:proofErr w:type="gramStart"/>
      <w:r w:rsidR="003C6F1C" w:rsidRPr="003C6F1C">
        <w:rPr>
          <w:i/>
          <w:iCs/>
        </w:rPr>
        <w:t>Ibidem</w:t>
      </w:r>
      <w:proofErr w:type="gramEnd"/>
      <w:r w:rsidR="003C6F1C" w:rsidRPr="003C6F1C">
        <w:t>,</w:t>
      </w:r>
      <w:r w:rsidR="003C6F1C" w:rsidRPr="003C6F1C">
        <w:t xml:space="preserve"> p. </w:t>
      </w:r>
      <w:r w:rsidRPr="003C6F1C">
        <w:t>176.</w:t>
      </w:r>
    </w:p>
  </w:footnote>
  <w:footnote w:id="5">
    <w:p w14:paraId="30A92DC5" w14:textId="25861F85" w:rsidR="002E5112" w:rsidRPr="007A7E27" w:rsidRDefault="002E5112" w:rsidP="00C53D3F">
      <w:pPr>
        <w:pStyle w:val="Textodenotaderodap"/>
        <w:jc w:val="both"/>
      </w:pPr>
      <w:r w:rsidRPr="007A7E27">
        <w:rPr>
          <w:rStyle w:val="Refdenotaderodap"/>
        </w:rPr>
        <w:footnoteRef/>
      </w:r>
      <w:r w:rsidRPr="007A7E27">
        <w:t xml:space="preserve"> </w:t>
      </w:r>
      <w:r w:rsidR="007A7E27" w:rsidRPr="007A7E27">
        <w:t xml:space="preserve">CARVALHO, Paulo de Barros. </w:t>
      </w:r>
      <w:r w:rsidR="007A7E27" w:rsidRPr="007A7E27">
        <w:rPr>
          <w:i/>
          <w:iCs/>
        </w:rPr>
        <w:t>Op. Cit.</w:t>
      </w:r>
      <w:r w:rsidRPr="007A7E27">
        <w:t>, p. 178 e 513.</w:t>
      </w:r>
    </w:p>
  </w:footnote>
  <w:footnote w:id="6">
    <w:p w14:paraId="4FD643E3" w14:textId="194C9B06" w:rsidR="009F6861" w:rsidRPr="007A7E27" w:rsidRDefault="009F6861" w:rsidP="00C53D3F">
      <w:pPr>
        <w:pStyle w:val="Textodenotaderodap"/>
        <w:jc w:val="both"/>
      </w:pPr>
      <w:r w:rsidRPr="007A7E27">
        <w:rPr>
          <w:rStyle w:val="Refdenotaderodap"/>
        </w:rPr>
        <w:footnoteRef/>
      </w:r>
      <w:r w:rsidRPr="007A7E27">
        <w:t xml:space="preserve"> </w:t>
      </w:r>
      <w:r w:rsidR="007A7E27" w:rsidRPr="007A7E27">
        <w:rPr>
          <w:i/>
          <w:iCs/>
        </w:rPr>
        <w:t xml:space="preserve">Idem, </w:t>
      </w:r>
      <w:proofErr w:type="gramStart"/>
      <w:r w:rsidR="007A7E27" w:rsidRPr="007A7E27">
        <w:rPr>
          <w:i/>
          <w:iCs/>
        </w:rPr>
        <w:t>Ibidem</w:t>
      </w:r>
      <w:proofErr w:type="gramEnd"/>
      <w:r w:rsidR="007A7E27" w:rsidRPr="007A7E27">
        <w:t xml:space="preserve">, p. </w:t>
      </w:r>
      <w:r w:rsidRPr="007A7E27">
        <w:t>180</w:t>
      </w:r>
      <w:r w:rsidR="007A7E27" w:rsidRPr="007A7E27">
        <w:t>.</w:t>
      </w:r>
    </w:p>
  </w:footnote>
  <w:footnote w:id="7">
    <w:p w14:paraId="3E6550A9" w14:textId="5FF8A60E" w:rsidR="009F6861" w:rsidRPr="00C53D3F" w:rsidRDefault="009F6861" w:rsidP="00C53D3F">
      <w:pPr>
        <w:pStyle w:val="Textodenotaderodap"/>
        <w:jc w:val="both"/>
      </w:pPr>
      <w:r w:rsidRPr="007A7E27">
        <w:rPr>
          <w:rStyle w:val="Refdenotaderodap"/>
        </w:rPr>
        <w:footnoteRef/>
      </w:r>
      <w:r w:rsidRPr="007A7E27">
        <w:t xml:space="preserve"> </w:t>
      </w:r>
      <w:r w:rsidR="007A7E27" w:rsidRPr="007A7E27">
        <w:rPr>
          <w:i/>
          <w:iCs/>
        </w:rPr>
        <w:t>Idem, Ibidem</w:t>
      </w:r>
      <w:r w:rsidR="007A7E27" w:rsidRPr="007A7E27">
        <w:t>.</w:t>
      </w:r>
    </w:p>
  </w:footnote>
  <w:footnote w:id="8">
    <w:p w14:paraId="6B040235" w14:textId="771615FE" w:rsidR="00905382" w:rsidRPr="00C53D3F" w:rsidRDefault="00905382" w:rsidP="00C53D3F">
      <w:pPr>
        <w:pStyle w:val="Textodenotaderodap"/>
        <w:jc w:val="both"/>
      </w:pPr>
      <w:r w:rsidRPr="00A37241">
        <w:rPr>
          <w:rStyle w:val="Refdenotaderodap"/>
        </w:rPr>
        <w:footnoteRef/>
      </w:r>
      <w:r w:rsidRPr="00A37241">
        <w:t xml:space="preserve"> </w:t>
      </w:r>
      <w:r w:rsidR="00A37241" w:rsidRPr="00A37241">
        <w:t xml:space="preserve">CARVALHO, Paulo de Barros. </w:t>
      </w:r>
      <w:r w:rsidR="00A37241" w:rsidRPr="00A37241">
        <w:rPr>
          <w:i/>
          <w:iCs/>
        </w:rPr>
        <w:t>Op. Cit.</w:t>
      </w:r>
      <w:r w:rsidR="00A37241" w:rsidRPr="00A37241">
        <w:t xml:space="preserve">, p. </w:t>
      </w:r>
      <w:r w:rsidRPr="00A37241">
        <w:t>180-181</w:t>
      </w:r>
      <w:r w:rsidR="00A37241" w:rsidRPr="00A37241">
        <w:t>.</w:t>
      </w:r>
    </w:p>
  </w:footnote>
  <w:footnote w:id="9">
    <w:p w14:paraId="6F9A0815" w14:textId="2092A309" w:rsidR="00F40A32" w:rsidRPr="00FF2AB8" w:rsidRDefault="00F40A32" w:rsidP="00C53D3F">
      <w:pPr>
        <w:pStyle w:val="Textodenotaderodap"/>
        <w:jc w:val="both"/>
        <w:rPr>
          <w:lang w:val="en-US"/>
        </w:rPr>
      </w:pPr>
      <w:r w:rsidRPr="00C53D3F">
        <w:rPr>
          <w:rStyle w:val="Refdenotaderodap"/>
        </w:rPr>
        <w:footnoteRef/>
      </w:r>
      <w:r w:rsidRPr="00FF2AB8">
        <w:rPr>
          <w:lang w:val="en-US"/>
        </w:rPr>
        <w:t xml:space="preserve"> </w:t>
      </w:r>
      <w:r w:rsidR="00FF2AB8" w:rsidRPr="00FF2AB8">
        <w:rPr>
          <w:lang w:val="en-US"/>
        </w:rPr>
        <w:t xml:space="preserve">SCHOUERI, Luis E. </w:t>
      </w:r>
      <w:r w:rsidR="00FF2AB8" w:rsidRPr="00FF2AB8">
        <w:rPr>
          <w:i/>
          <w:iCs/>
          <w:lang w:val="en-US"/>
        </w:rPr>
        <w:t>Op. Cit.</w:t>
      </w:r>
      <w:r w:rsidR="00FF2AB8" w:rsidRPr="00FF2AB8">
        <w:rPr>
          <w:lang w:val="en-US"/>
        </w:rPr>
        <w:t xml:space="preserve">, </w:t>
      </w:r>
      <w:r w:rsidR="006B5C21" w:rsidRPr="00FF2AB8">
        <w:rPr>
          <w:lang w:val="en-US"/>
        </w:rPr>
        <w:t xml:space="preserve">p. </w:t>
      </w:r>
      <w:r w:rsidRPr="00FF2AB8">
        <w:rPr>
          <w:lang w:val="en-US"/>
        </w:rPr>
        <w:t>209</w:t>
      </w:r>
      <w:r w:rsidR="006B5C21" w:rsidRPr="00FF2AB8">
        <w:rPr>
          <w:lang w:val="en-US"/>
        </w:rPr>
        <w:t>.</w:t>
      </w:r>
    </w:p>
  </w:footnote>
  <w:footnote w:id="10">
    <w:p w14:paraId="1E0C1BAE" w14:textId="2680804B" w:rsidR="00F40A32" w:rsidRPr="00C53D3F" w:rsidRDefault="00F40A32" w:rsidP="00C53D3F">
      <w:pPr>
        <w:pStyle w:val="Textodenotaderodap"/>
        <w:jc w:val="both"/>
      </w:pPr>
      <w:r w:rsidRPr="00C53D3F">
        <w:rPr>
          <w:rStyle w:val="Refdenotaderodap"/>
        </w:rPr>
        <w:footnoteRef/>
      </w:r>
      <w:r w:rsidRPr="00C53D3F">
        <w:t xml:space="preserve"> </w:t>
      </w:r>
      <w:r w:rsidR="006B5C21" w:rsidRPr="006B5C21">
        <w:rPr>
          <w:i/>
          <w:iCs/>
        </w:rPr>
        <w:t>Idem, Ibidem</w:t>
      </w:r>
      <w:r w:rsidR="006B5C21">
        <w:t>.</w:t>
      </w:r>
    </w:p>
  </w:footnote>
  <w:footnote w:id="11">
    <w:p w14:paraId="502647E0" w14:textId="38906572" w:rsidR="00F40A32" w:rsidRPr="00C53D3F" w:rsidRDefault="00F40A32" w:rsidP="00C53D3F">
      <w:pPr>
        <w:pStyle w:val="Textodenotaderodap"/>
        <w:jc w:val="both"/>
      </w:pPr>
      <w:r w:rsidRPr="00C53D3F">
        <w:rPr>
          <w:rStyle w:val="Refdenotaderodap"/>
        </w:rPr>
        <w:footnoteRef/>
      </w:r>
      <w:r w:rsidRPr="00C53D3F">
        <w:t xml:space="preserve"> </w:t>
      </w:r>
      <w:r w:rsidR="006B5C21" w:rsidRPr="006B5C21">
        <w:rPr>
          <w:i/>
          <w:iCs/>
        </w:rPr>
        <w:t>Idem, Ibidem</w:t>
      </w:r>
      <w:r w:rsidR="006B5C21">
        <w:t>.</w:t>
      </w:r>
    </w:p>
  </w:footnote>
  <w:footnote w:id="12">
    <w:p w14:paraId="620D5B41" w14:textId="712F34E7" w:rsidR="0069108B" w:rsidRPr="00037657" w:rsidRDefault="0069108B" w:rsidP="00C53D3F">
      <w:pPr>
        <w:pStyle w:val="Textodenotaderodap"/>
        <w:jc w:val="both"/>
      </w:pPr>
      <w:r w:rsidRPr="00C53D3F">
        <w:rPr>
          <w:rStyle w:val="Refdenotaderodap"/>
        </w:rPr>
        <w:footnoteRef/>
      </w:r>
      <w:r w:rsidRPr="006B5C21">
        <w:rPr>
          <w:lang w:val="en-US"/>
        </w:rPr>
        <w:t xml:space="preserve"> </w:t>
      </w:r>
      <w:r w:rsidR="006B5C21" w:rsidRPr="006B5C21">
        <w:rPr>
          <w:lang w:val="en-US"/>
        </w:rPr>
        <w:t xml:space="preserve">SCHOUERI, Luis E. </w:t>
      </w:r>
      <w:r w:rsidR="006B5C21" w:rsidRPr="006B5C21">
        <w:rPr>
          <w:i/>
          <w:iCs/>
          <w:lang w:val="en-US"/>
        </w:rPr>
        <w:t xml:space="preserve">Op. </w:t>
      </w:r>
      <w:r w:rsidR="006B5C21" w:rsidRPr="00037657">
        <w:rPr>
          <w:i/>
          <w:iCs/>
        </w:rPr>
        <w:t>Cit.</w:t>
      </w:r>
      <w:r w:rsidR="006B5C21" w:rsidRPr="00037657">
        <w:t xml:space="preserve">, p. </w:t>
      </w:r>
      <w:r w:rsidRPr="00037657">
        <w:t>209</w:t>
      </w:r>
      <w:r w:rsidR="006B5C21" w:rsidRPr="00037657">
        <w:t>.</w:t>
      </w:r>
    </w:p>
  </w:footnote>
  <w:footnote w:id="13">
    <w:p w14:paraId="536D0631" w14:textId="6E75AA6A" w:rsidR="0069108B" w:rsidRPr="00037657" w:rsidRDefault="0069108B" w:rsidP="00C53D3F">
      <w:pPr>
        <w:pStyle w:val="Textodenotaderodap"/>
        <w:jc w:val="both"/>
      </w:pPr>
      <w:r w:rsidRPr="00C53D3F">
        <w:rPr>
          <w:rStyle w:val="Refdenotaderodap"/>
        </w:rPr>
        <w:footnoteRef/>
      </w:r>
      <w:r w:rsidRPr="00037657">
        <w:t xml:space="preserve"> </w:t>
      </w:r>
      <w:r w:rsidR="006B5C21" w:rsidRPr="00037657">
        <w:rPr>
          <w:i/>
          <w:iCs/>
        </w:rPr>
        <w:t>Idem, Ibidem.</w:t>
      </w:r>
    </w:p>
  </w:footnote>
  <w:footnote w:id="14">
    <w:p w14:paraId="67EB94E5" w14:textId="38CA6C91" w:rsidR="00934D69" w:rsidRPr="00037657" w:rsidRDefault="00934D69" w:rsidP="00C53D3F">
      <w:pPr>
        <w:pStyle w:val="Textodenotaderodap"/>
        <w:jc w:val="both"/>
      </w:pPr>
      <w:r w:rsidRPr="00037657">
        <w:rPr>
          <w:rStyle w:val="Refdenotaderodap"/>
        </w:rPr>
        <w:footnoteRef/>
      </w:r>
      <w:r w:rsidRPr="00037657">
        <w:t xml:space="preserve"> </w:t>
      </w:r>
      <w:r w:rsidR="00037657" w:rsidRPr="00037657">
        <w:t xml:space="preserve">CARVALHO, Paulo de Barros. </w:t>
      </w:r>
      <w:r w:rsidR="00037657" w:rsidRPr="00037657">
        <w:rPr>
          <w:i/>
          <w:iCs/>
        </w:rPr>
        <w:t>Op. Cit.</w:t>
      </w:r>
      <w:r w:rsidR="00037657" w:rsidRPr="00037657">
        <w:t xml:space="preserve">, p. </w:t>
      </w:r>
      <w:r w:rsidRPr="00037657">
        <w:t>29.</w:t>
      </w:r>
    </w:p>
  </w:footnote>
  <w:footnote w:id="15">
    <w:p w14:paraId="26E6173A" w14:textId="7ED0BDEA" w:rsidR="00D0182C" w:rsidRPr="006B5C21" w:rsidRDefault="00D0182C" w:rsidP="00C53D3F">
      <w:pPr>
        <w:pStyle w:val="Textodenotaderodap"/>
        <w:jc w:val="both"/>
        <w:rPr>
          <w:lang w:val="en-US"/>
        </w:rPr>
      </w:pPr>
      <w:r w:rsidRPr="00037657">
        <w:rPr>
          <w:rStyle w:val="Refdenotaderodap"/>
        </w:rPr>
        <w:footnoteRef/>
      </w:r>
      <w:r w:rsidRPr="00037657">
        <w:t xml:space="preserve"> </w:t>
      </w:r>
      <w:r w:rsidR="00037657" w:rsidRPr="00037657">
        <w:t xml:space="preserve">CARVALHO, Paulo de Barros. </w:t>
      </w:r>
      <w:r w:rsidR="00037657" w:rsidRPr="00037657">
        <w:rPr>
          <w:i/>
          <w:iCs/>
        </w:rPr>
        <w:t>Op. Cit.</w:t>
      </w:r>
      <w:r w:rsidR="00037657" w:rsidRPr="00037657">
        <w:t xml:space="preserve">, p. </w:t>
      </w:r>
      <w:r w:rsidRPr="00037657">
        <w:rPr>
          <w:lang w:val="en-US"/>
        </w:rPr>
        <w:t>28</w:t>
      </w:r>
      <w:r w:rsidR="00037657" w:rsidRPr="00037657">
        <w:rPr>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79071D"/>
    <w:multiLevelType w:val="multilevel"/>
    <w:tmpl w:val="063468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627BD2"/>
    <w:multiLevelType w:val="hybridMultilevel"/>
    <w:tmpl w:val="A5BA3E08"/>
    <w:lvl w:ilvl="0" w:tplc="0428C75C">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 w15:restartNumberingAfterBreak="0">
    <w:nsid w:val="10140D63"/>
    <w:multiLevelType w:val="hybridMultilevel"/>
    <w:tmpl w:val="75247306"/>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 w15:restartNumberingAfterBreak="0">
    <w:nsid w:val="13AA1434"/>
    <w:multiLevelType w:val="hybridMultilevel"/>
    <w:tmpl w:val="96DAB6C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 w15:restartNumberingAfterBreak="0">
    <w:nsid w:val="18437E76"/>
    <w:multiLevelType w:val="hybridMultilevel"/>
    <w:tmpl w:val="E14CD83E"/>
    <w:lvl w:ilvl="0" w:tplc="CC14CDB6">
      <w:numFmt w:val="bullet"/>
      <w:lvlText w:val="•"/>
      <w:lvlJc w:val="left"/>
      <w:pPr>
        <w:ind w:left="1065" w:hanging="705"/>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9EB760C"/>
    <w:multiLevelType w:val="hybridMultilevel"/>
    <w:tmpl w:val="18FE147A"/>
    <w:lvl w:ilvl="0" w:tplc="CC14CDB6">
      <w:numFmt w:val="bullet"/>
      <w:lvlText w:val="•"/>
      <w:lvlJc w:val="left"/>
      <w:pPr>
        <w:ind w:left="1065" w:hanging="705"/>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1E777878"/>
    <w:multiLevelType w:val="hybridMultilevel"/>
    <w:tmpl w:val="DD86E560"/>
    <w:lvl w:ilvl="0" w:tplc="3BBADBA6">
      <w:start w:val="1"/>
      <w:numFmt w:val="decimal"/>
      <w:lvlText w:val="%1."/>
      <w:lvlJc w:val="left"/>
      <w:pPr>
        <w:ind w:left="962" w:hanging="279"/>
      </w:pPr>
      <w:rPr>
        <w:rFonts w:ascii="Times New Roman" w:eastAsia="Times New Roman" w:hAnsi="Times New Roman" w:cs="Times New Roman" w:hint="default"/>
        <w:spacing w:val="-24"/>
        <w:w w:val="99"/>
        <w:sz w:val="24"/>
        <w:szCs w:val="24"/>
        <w:lang w:val="pt-PT" w:eastAsia="pt-PT" w:bidi="pt-PT"/>
      </w:rPr>
    </w:lvl>
    <w:lvl w:ilvl="1" w:tplc="C1E06826">
      <w:start w:val="1"/>
      <w:numFmt w:val="lowerLetter"/>
      <w:lvlText w:val="%2)"/>
      <w:lvlJc w:val="left"/>
      <w:pPr>
        <w:ind w:left="962" w:hanging="262"/>
      </w:pPr>
      <w:rPr>
        <w:rFonts w:ascii="Times New Roman" w:eastAsia="Times New Roman" w:hAnsi="Times New Roman" w:cs="Times New Roman" w:hint="default"/>
        <w:spacing w:val="-1"/>
        <w:w w:val="100"/>
        <w:sz w:val="24"/>
        <w:szCs w:val="24"/>
        <w:lang w:val="pt-PT" w:eastAsia="pt-PT" w:bidi="pt-PT"/>
      </w:rPr>
    </w:lvl>
    <w:lvl w:ilvl="2" w:tplc="F9EC7DA6">
      <w:numFmt w:val="bullet"/>
      <w:lvlText w:val="•"/>
      <w:lvlJc w:val="left"/>
      <w:pPr>
        <w:ind w:left="2673" w:hanging="262"/>
      </w:pPr>
      <w:rPr>
        <w:rFonts w:hint="default"/>
        <w:lang w:val="pt-PT" w:eastAsia="pt-PT" w:bidi="pt-PT"/>
      </w:rPr>
    </w:lvl>
    <w:lvl w:ilvl="3" w:tplc="CE74BB2E">
      <w:numFmt w:val="bullet"/>
      <w:lvlText w:val="•"/>
      <w:lvlJc w:val="left"/>
      <w:pPr>
        <w:ind w:left="3529" w:hanging="262"/>
      </w:pPr>
      <w:rPr>
        <w:rFonts w:hint="default"/>
        <w:lang w:val="pt-PT" w:eastAsia="pt-PT" w:bidi="pt-PT"/>
      </w:rPr>
    </w:lvl>
    <w:lvl w:ilvl="4" w:tplc="57689802">
      <w:numFmt w:val="bullet"/>
      <w:lvlText w:val="•"/>
      <w:lvlJc w:val="left"/>
      <w:pPr>
        <w:ind w:left="4386" w:hanging="262"/>
      </w:pPr>
      <w:rPr>
        <w:rFonts w:hint="default"/>
        <w:lang w:val="pt-PT" w:eastAsia="pt-PT" w:bidi="pt-PT"/>
      </w:rPr>
    </w:lvl>
    <w:lvl w:ilvl="5" w:tplc="27F06988">
      <w:numFmt w:val="bullet"/>
      <w:lvlText w:val="•"/>
      <w:lvlJc w:val="left"/>
      <w:pPr>
        <w:ind w:left="5243" w:hanging="262"/>
      </w:pPr>
      <w:rPr>
        <w:rFonts w:hint="default"/>
        <w:lang w:val="pt-PT" w:eastAsia="pt-PT" w:bidi="pt-PT"/>
      </w:rPr>
    </w:lvl>
    <w:lvl w:ilvl="6" w:tplc="1A6E78B4">
      <w:numFmt w:val="bullet"/>
      <w:lvlText w:val="•"/>
      <w:lvlJc w:val="left"/>
      <w:pPr>
        <w:ind w:left="6099" w:hanging="262"/>
      </w:pPr>
      <w:rPr>
        <w:rFonts w:hint="default"/>
        <w:lang w:val="pt-PT" w:eastAsia="pt-PT" w:bidi="pt-PT"/>
      </w:rPr>
    </w:lvl>
    <w:lvl w:ilvl="7" w:tplc="0456AEC6">
      <w:numFmt w:val="bullet"/>
      <w:lvlText w:val="•"/>
      <w:lvlJc w:val="left"/>
      <w:pPr>
        <w:ind w:left="6956" w:hanging="262"/>
      </w:pPr>
      <w:rPr>
        <w:rFonts w:hint="default"/>
        <w:lang w:val="pt-PT" w:eastAsia="pt-PT" w:bidi="pt-PT"/>
      </w:rPr>
    </w:lvl>
    <w:lvl w:ilvl="8" w:tplc="8FA643F0">
      <w:numFmt w:val="bullet"/>
      <w:lvlText w:val="•"/>
      <w:lvlJc w:val="left"/>
      <w:pPr>
        <w:ind w:left="7813" w:hanging="262"/>
      </w:pPr>
      <w:rPr>
        <w:rFonts w:hint="default"/>
        <w:lang w:val="pt-PT" w:eastAsia="pt-PT" w:bidi="pt-PT"/>
      </w:rPr>
    </w:lvl>
  </w:abstractNum>
  <w:abstractNum w:abstractNumId="7" w15:restartNumberingAfterBreak="0">
    <w:nsid w:val="28865E4E"/>
    <w:multiLevelType w:val="hybridMultilevel"/>
    <w:tmpl w:val="2AA8EB7A"/>
    <w:lvl w:ilvl="0" w:tplc="CC14CDB6">
      <w:numFmt w:val="bullet"/>
      <w:lvlText w:val="•"/>
      <w:lvlJc w:val="left"/>
      <w:pPr>
        <w:ind w:left="1065" w:hanging="705"/>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B255C49"/>
    <w:multiLevelType w:val="hybridMultilevel"/>
    <w:tmpl w:val="4B0ED094"/>
    <w:lvl w:ilvl="0" w:tplc="CC14CDB6">
      <w:numFmt w:val="bullet"/>
      <w:lvlText w:val="•"/>
      <w:lvlJc w:val="left"/>
      <w:pPr>
        <w:ind w:left="1413" w:hanging="705"/>
      </w:pPr>
      <w:rPr>
        <w:rFonts w:ascii="Times New Roman" w:eastAsia="Times New Roman" w:hAnsi="Times New Roman" w:cs="Times New Roman"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9" w15:restartNumberingAfterBreak="0">
    <w:nsid w:val="335D3A9C"/>
    <w:multiLevelType w:val="hybridMultilevel"/>
    <w:tmpl w:val="1F9AAFF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87638D7"/>
    <w:multiLevelType w:val="hybridMultilevel"/>
    <w:tmpl w:val="D7904BA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A116AA4"/>
    <w:multiLevelType w:val="hybridMultilevel"/>
    <w:tmpl w:val="CF2EBB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D8C694A"/>
    <w:multiLevelType w:val="hybridMultilevel"/>
    <w:tmpl w:val="99DE714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9904B60"/>
    <w:multiLevelType w:val="hybridMultilevel"/>
    <w:tmpl w:val="EA320C5A"/>
    <w:lvl w:ilvl="0" w:tplc="CC14CDB6">
      <w:numFmt w:val="bullet"/>
      <w:lvlText w:val="•"/>
      <w:lvlJc w:val="left"/>
      <w:pPr>
        <w:ind w:left="1065" w:hanging="705"/>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33C614D"/>
    <w:multiLevelType w:val="hybridMultilevel"/>
    <w:tmpl w:val="0960FB12"/>
    <w:lvl w:ilvl="0" w:tplc="CC14CDB6">
      <w:numFmt w:val="bullet"/>
      <w:lvlText w:val="•"/>
      <w:lvlJc w:val="left"/>
      <w:pPr>
        <w:ind w:left="1065" w:hanging="705"/>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7981CE6"/>
    <w:multiLevelType w:val="hybridMultilevel"/>
    <w:tmpl w:val="D49ACC7E"/>
    <w:lvl w:ilvl="0" w:tplc="E2CC4E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07A7390"/>
    <w:multiLevelType w:val="hybridMultilevel"/>
    <w:tmpl w:val="EF02DB7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68B47CBA"/>
    <w:multiLevelType w:val="hybridMultilevel"/>
    <w:tmpl w:val="6DB425D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8" w15:restartNumberingAfterBreak="0">
    <w:nsid w:val="6AB861FF"/>
    <w:multiLevelType w:val="hybridMultilevel"/>
    <w:tmpl w:val="8EDCEF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6BF71F19"/>
    <w:multiLevelType w:val="hybridMultilevel"/>
    <w:tmpl w:val="C2A0E79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4E30B13"/>
    <w:multiLevelType w:val="singleLevel"/>
    <w:tmpl w:val="04160001"/>
    <w:lvl w:ilvl="0">
      <w:start w:val="1"/>
      <w:numFmt w:val="bullet"/>
      <w:lvlText w:val=""/>
      <w:lvlJc w:val="left"/>
      <w:pPr>
        <w:tabs>
          <w:tab w:val="num" w:pos="360"/>
        </w:tabs>
        <w:ind w:left="360" w:hanging="360"/>
      </w:pPr>
      <w:rPr>
        <w:rFonts w:ascii="Symbol" w:hAnsi="Symbol" w:hint="default"/>
      </w:rPr>
    </w:lvl>
  </w:abstractNum>
  <w:num w:numId="1" w16cid:durableId="314146503">
    <w:abstractNumId w:val="20"/>
  </w:num>
  <w:num w:numId="2" w16cid:durableId="990986533">
    <w:abstractNumId w:val="6"/>
  </w:num>
  <w:num w:numId="3" w16cid:durableId="932124191">
    <w:abstractNumId w:val="16"/>
  </w:num>
  <w:num w:numId="4" w16cid:durableId="793525324">
    <w:abstractNumId w:val="15"/>
  </w:num>
  <w:num w:numId="5" w16cid:durableId="2124571359">
    <w:abstractNumId w:val="0"/>
  </w:num>
  <w:num w:numId="6" w16cid:durableId="540870883">
    <w:abstractNumId w:val="11"/>
  </w:num>
  <w:num w:numId="7" w16cid:durableId="1145047228">
    <w:abstractNumId w:val="8"/>
  </w:num>
  <w:num w:numId="8" w16cid:durableId="1268468372">
    <w:abstractNumId w:val="10"/>
  </w:num>
  <w:num w:numId="9" w16cid:durableId="1034816013">
    <w:abstractNumId w:val="13"/>
  </w:num>
  <w:num w:numId="10" w16cid:durableId="476855">
    <w:abstractNumId w:val="7"/>
  </w:num>
  <w:num w:numId="11" w16cid:durableId="130558368">
    <w:abstractNumId w:val="14"/>
  </w:num>
  <w:num w:numId="12" w16cid:durableId="1905725421">
    <w:abstractNumId w:val="9"/>
  </w:num>
  <w:num w:numId="13" w16cid:durableId="1898786327">
    <w:abstractNumId w:val="1"/>
  </w:num>
  <w:num w:numId="14" w16cid:durableId="1106998449">
    <w:abstractNumId w:val="12"/>
  </w:num>
  <w:num w:numId="15" w16cid:durableId="2032875743">
    <w:abstractNumId w:val="4"/>
  </w:num>
  <w:num w:numId="16" w16cid:durableId="2103716133">
    <w:abstractNumId w:val="5"/>
  </w:num>
  <w:num w:numId="17" w16cid:durableId="1714305466">
    <w:abstractNumId w:val="19"/>
  </w:num>
  <w:num w:numId="18" w16cid:durableId="1030954846">
    <w:abstractNumId w:val="3"/>
  </w:num>
  <w:num w:numId="19" w16cid:durableId="1497069012">
    <w:abstractNumId w:val="2"/>
  </w:num>
  <w:num w:numId="20" w16cid:durableId="1060322603">
    <w:abstractNumId w:val="17"/>
  </w:num>
  <w:num w:numId="21" w16cid:durableId="41860129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6F8"/>
    <w:rsid w:val="00037657"/>
    <w:rsid w:val="000639C8"/>
    <w:rsid w:val="00081ED0"/>
    <w:rsid w:val="00135AE4"/>
    <w:rsid w:val="001B06F8"/>
    <w:rsid w:val="002366A8"/>
    <w:rsid w:val="002937B0"/>
    <w:rsid w:val="002E5112"/>
    <w:rsid w:val="003C6F1C"/>
    <w:rsid w:val="004D02A0"/>
    <w:rsid w:val="0051248A"/>
    <w:rsid w:val="0056201C"/>
    <w:rsid w:val="00570927"/>
    <w:rsid w:val="005B27C4"/>
    <w:rsid w:val="005D41BE"/>
    <w:rsid w:val="006470A1"/>
    <w:rsid w:val="00650AB3"/>
    <w:rsid w:val="0069108B"/>
    <w:rsid w:val="006B5C21"/>
    <w:rsid w:val="006C00E7"/>
    <w:rsid w:val="007A7E27"/>
    <w:rsid w:val="007C146D"/>
    <w:rsid w:val="008212AA"/>
    <w:rsid w:val="00823718"/>
    <w:rsid w:val="008354A0"/>
    <w:rsid w:val="00866548"/>
    <w:rsid w:val="00905382"/>
    <w:rsid w:val="009254C0"/>
    <w:rsid w:val="00934D69"/>
    <w:rsid w:val="0097506F"/>
    <w:rsid w:val="00994A76"/>
    <w:rsid w:val="009D7099"/>
    <w:rsid w:val="009F6861"/>
    <w:rsid w:val="00A37241"/>
    <w:rsid w:val="00B00703"/>
    <w:rsid w:val="00C53D3F"/>
    <w:rsid w:val="00CE6FA4"/>
    <w:rsid w:val="00D0182C"/>
    <w:rsid w:val="00D46A50"/>
    <w:rsid w:val="00D868D5"/>
    <w:rsid w:val="00E93496"/>
    <w:rsid w:val="00F40A32"/>
    <w:rsid w:val="00FC33FA"/>
    <w:rsid w:val="00FF2A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7D573"/>
  <w15:chartTrackingRefBased/>
  <w15:docId w15:val="{D538DC1D-9ED3-4003-8303-D94563011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6F8"/>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uiPriority w:val="99"/>
    <w:qFormat/>
    <w:rsid w:val="001B06F8"/>
    <w:pPr>
      <w:spacing w:before="120" w:after="120"/>
      <w:jc w:val="center"/>
      <w:outlineLvl w:val="0"/>
    </w:pPr>
    <w:rPr>
      <w:rFonts w:ascii="Arial Nova Cond" w:hAnsi="Arial Nova Cond"/>
      <w:b/>
      <w:bCs/>
      <w:sz w:val="32"/>
      <w:szCs w:val="32"/>
    </w:rPr>
  </w:style>
  <w:style w:type="paragraph" w:styleId="Ttulo2">
    <w:name w:val="heading 2"/>
    <w:basedOn w:val="Ttulo1"/>
    <w:next w:val="Normal"/>
    <w:link w:val="Ttulo2Char"/>
    <w:uiPriority w:val="99"/>
    <w:qFormat/>
    <w:rsid w:val="001B06F8"/>
    <w:pPr>
      <w:jc w:val="both"/>
      <w:outlineLvl w:val="1"/>
    </w:pPr>
  </w:style>
  <w:style w:type="paragraph" w:styleId="Ttulo3">
    <w:name w:val="heading 3"/>
    <w:basedOn w:val="Normal"/>
    <w:next w:val="Normal"/>
    <w:link w:val="Ttulo3Char"/>
    <w:uiPriority w:val="99"/>
    <w:qFormat/>
    <w:rsid w:val="001B06F8"/>
    <w:pPr>
      <w:spacing w:after="120"/>
      <w:jc w:val="both"/>
      <w:outlineLvl w:val="2"/>
    </w:pPr>
    <w:rPr>
      <w:rFonts w:ascii="Arial Nova Cond" w:hAnsi="Arial Nova Cond"/>
      <w:b/>
      <w:sz w:val="28"/>
      <w:szCs w:val="28"/>
    </w:rPr>
  </w:style>
  <w:style w:type="paragraph" w:styleId="Ttulo4">
    <w:name w:val="heading 4"/>
    <w:basedOn w:val="Normal"/>
    <w:next w:val="Normal"/>
    <w:link w:val="Ttulo4Char"/>
    <w:uiPriority w:val="9"/>
    <w:semiHidden/>
    <w:unhideWhenUsed/>
    <w:qFormat/>
    <w:rsid w:val="005D41B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rsid w:val="001B06F8"/>
    <w:rPr>
      <w:rFonts w:ascii="Arial Nova Cond" w:eastAsia="Times New Roman" w:hAnsi="Arial Nova Cond" w:cs="Times New Roman"/>
      <w:b/>
      <w:bCs/>
      <w:sz w:val="32"/>
      <w:szCs w:val="32"/>
      <w:lang w:eastAsia="pt-BR"/>
    </w:rPr>
  </w:style>
  <w:style w:type="character" w:customStyle="1" w:styleId="Ttulo2Char">
    <w:name w:val="Título 2 Char"/>
    <w:basedOn w:val="Fontepargpadro"/>
    <w:link w:val="Ttulo2"/>
    <w:uiPriority w:val="99"/>
    <w:rsid w:val="001B06F8"/>
    <w:rPr>
      <w:rFonts w:ascii="Arial Nova Cond" w:eastAsia="Times New Roman" w:hAnsi="Arial Nova Cond" w:cs="Times New Roman"/>
      <w:b/>
      <w:bCs/>
      <w:sz w:val="32"/>
      <w:szCs w:val="32"/>
      <w:lang w:eastAsia="pt-BR"/>
    </w:rPr>
  </w:style>
  <w:style w:type="character" w:customStyle="1" w:styleId="Ttulo3Char">
    <w:name w:val="Título 3 Char"/>
    <w:basedOn w:val="Fontepargpadro"/>
    <w:link w:val="Ttulo3"/>
    <w:uiPriority w:val="99"/>
    <w:rsid w:val="001B06F8"/>
    <w:rPr>
      <w:rFonts w:ascii="Arial Nova Cond" w:eastAsia="Times New Roman" w:hAnsi="Arial Nova Cond" w:cs="Times New Roman"/>
      <w:b/>
      <w:sz w:val="28"/>
      <w:szCs w:val="28"/>
      <w:lang w:eastAsia="pt-BR"/>
    </w:rPr>
  </w:style>
  <w:style w:type="paragraph" w:styleId="Corpodetexto">
    <w:name w:val="Body Text"/>
    <w:basedOn w:val="Normal"/>
    <w:link w:val="CorpodetextoChar"/>
    <w:uiPriority w:val="99"/>
    <w:rsid w:val="001B06F8"/>
    <w:pPr>
      <w:jc w:val="both"/>
    </w:pPr>
    <w:rPr>
      <w:rFonts w:ascii="Courier New" w:hAnsi="Courier New"/>
      <w:color w:val="000000"/>
    </w:rPr>
  </w:style>
  <w:style w:type="character" w:customStyle="1" w:styleId="CorpodetextoChar">
    <w:name w:val="Corpo de texto Char"/>
    <w:basedOn w:val="Fontepargpadro"/>
    <w:link w:val="Corpodetexto"/>
    <w:uiPriority w:val="99"/>
    <w:rsid w:val="001B06F8"/>
    <w:rPr>
      <w:rFonts w:ascii="Courier New" w:eastAsia="Times New Roman" w:hAnsi="Courier New" w:cs="Times New Roman"/>
      <w:color w:val="000000"/>
      <w:sz w:val="20"/>
      <w:szCs w:val="20"/>
      <w:lang w:eastAsia="pt-BR"/>
    </w:rPr>
  </w:style>
  <w:style w:type="character" w:styleId="Hyperlink">
    <w:name w:val="Hyperlink"/>
    <w:basedOn w:val="Fontepargpadro"/>
    <w:uiPriority w:val="99"/>
    <w:rsid w:val="001B06F8"/>
    <w:rPr>
      <w:rFonts w:cs="Times New Roman"/>
      <w:color w:val="0000FF"/>
      <w:u w:val="single"/>
    </w:rPr>
  </w:style>
  <w:style w:type="paragraph" w:styleId="PargrafodaLista">
    <w:name w:val="List Paragraph"/>
    <w:basedOn w:val="Normal"/>
    <w:uiPriority w:val="34"/>
    <w:qFormat/>
    <w:rsid w:val="001B06F8"/>
    <w:pPr>
      <w:ind w:left="720"/>
      <w:contextualSpacing/>
    </w:pPr>
  </w:style>
  <w:style w:type="paragraph" w:styleId="Citao">
    <w:name w:val="Quote"/>
    <w:basedOn w:val="Normal"/>
    <w:next w:val="Normal"/>
    <w:link w:val="CitaoChar"/>
    <w:uiPriority w:val="29"/>
    <w:qFormat/>
    <w:rsid w:val="00CE6FA4"/>
    <w:pPr>
      <w:ind w:left="2268"/>
      <w:jc w:val="both"/>
    </w:pPr>
  </w:style>
  <w:style w:type="character" w:customStyle="1" w:styleId="CitaoChar">
    <w:name w:val="Citação Char"/>
    <w:basedOn w:val="Fontepargpadro"/>
    <w:link w:val="Citao"/>
    <w:uiPriority w:val="29"/>
    <w:rsid w:val="00CE6FA4"/>
    <w:rPr>
      <w:rFonts w:ascii="Times New Roman" w:eastAsia="Times New Roman" w:hAnsi="Times New Roman" w:cs="Times New Roman"/>
      <w:sz w:val="20"/>
      <w:szCs w:val="20"/>
      <w:lang w:eastAsia="pt-BR"/>
    </w:rPr>
  </w:style>
  <w:style w:type="paragraph" w:styleId="NormalWeb">
    <w:name w:val="Normal (Web)"/>
    <w:basedOn w:val="Normal"/>
    <w:uiPriority w:val="99"/>
    <w:unhideWhenUsed/>
    <w:rsid w:val="001B06F8"/>
    <w:pPr>
      <w:spacing w:before="100" w:beforeAutospacing="1" w:after="100" w:afterAutospacing="1"/>
    </w:pPr>
    <w:rPr>
      <w:sz w:val="24"/>
      <w:szCs w:val="24"/>
    </w:rPr>
  </w:style>
  <w:style w:type="character" w:styleId="Forte">
    <w:name w:val="Strong"/>
    <w:basedOn w:val="Fontepargpadro"/>
    <w:uiPriority w:val="22"/>
    <w:qFormat/>
    <w:rsid w:val="001B06F8"/>
    <w:rPr>
      <w:b/>
      <w:bCs/>
    </w:rPr>
  </w:style>
  <w:style w:type="character" w:customStyle="1" w:styleId="Ttulo4Char">
    <w:name w:val="Título 4 Char"/>
    <w:basedOn w:val="Fontepargpadro"/>
    <w:link w:val="Ttulo4"/>
    <w:uiPriority w:val="9"/>
    <w:semiHidden/>
    <w:rsid w:val="005D41BE"/>
    <w:rPr>
      <w:rFonts w:asciiTheme="majorHAnsi" w:eastAsiaTheme="majorEastAsia" w:hAnsiTheme="majorHAnsi" w:cstheme="majorBidi"/>
      <w:i/>
      <w:iCs/>
      <w:color w:val="2E74B5" w:themeColor="accent1" w:themeShade="BF"/>
      <w:sz w:val="20"/>
      <w:szCs w:val="20"/>
      <w:lang w:eastAsia="pt-BR"/>
    </w:rPr>
  </w:style>
  <w:style w:type="paragraph" w:styleId="Textodebalo">
    <w:name w:val="Balloon Text"/>
    <w:basedOn w:val="Normal"/>
    <w:link w:val="TextodebaloChar"/>
    <w:uiPriority w:val="99"/>
    <w:semiHidden/>
    <w:unhideWhenUsed/>
    <w:rsid w:val="00081ED0"/>
    <w:rPr>
      <w:rFonts w:ascii="Segoe UI" w:hAnsi="Segoe UI" w:cs="Segoe UI"/>
      <w:sz w:val="18"/>
      <w:szCs w:val="18"/>
    </w:rPr>
  </w:style>
  <w:style w:type="character" w:customStyle="1" w:styleId="TextodebaloChar">
    <w:name w:val="Texto de balão Char"/>
    <w:basedOn w:val="Fontepargpadro"/>
    <w:link w:val="Textodebalo"/>
    <w:uiPriority w:val="99"/>
    <w:semiHidden/>
    <w:rsid w:val="00081ED0"/>
    <w:rPr>
      <w:rFonts w:ascii="Segoe UI" w:eastAsia="Times New Roman" w:hAnsi="Segoe UI" w:cs="Segoe UI"/>
      <w:sz w:val="18"/>
      <w:szCs w:val="18"/>
      <w:lang w:eastAsia="pt-BR"/>
    </w:rPr>
  </w:style>
  <w:style w:type="paragraph" w:styleId="Textodenotaderodap">
    <w:name w:val="footnote text"/>
    <w:basedOn w:val="Normal"/>
    <w:link w:val="TextodenotaderodapChar"/>
    <w:uiPriority w:val="99"/>
    <w:semiHidden/>
    <w:unhideWhenUsed/>
    <w:rsid w:val="00CE6FA4"/>
  </w:style>
  <w:style w:type="character" w:customStyle="1" w:styleId="TextodenotaderodapChar">
    <w:name w:val="Texto de nota de rodapé Char"/>
    <w:basedOn w:val="Fontepargpadro"/>
    <w:link w:val="Textodenotaderodap"/>
    <w:uiPriority w:val="99"/>
    <w:semiHidden/>
    <w:rsid w:val="00CE6FA4"/>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CE6FA4"/>
    <w:rPr>
      <w:vertAlign w:val="superscript"/>
    </w:rPr>
  </w:style>
  <w:style w:type="paragraph" w:styleId="Cabealho">
    <w:name w:val="header"/>
    <w:basedOn w:val="Normal"/>
    <w:link w:val="CabealhoChar"/>
    <w:uiPriority w:val="99"/>
    <w:unhideWhenUsed/>
    <w:rsid w:val="006470A1"/>
    <w:pPr>
      <w:tabs>
        <w:tab w:val="center" w:pos="4252"/>
        <w:tab w:val="right" w:pos="8504"/>
      </w:tabs>
    </w:pPr>
  </w:style>
  <w:style w:type="character" w:customStyle="1" w:styleId="CabealhoChar">
    <w:name w:val="Cabeçalho Char"/>
    <w:basedOn w:val="Fontepargpadro"/>
    <w:link w:val="Cabealho"/>
    <w:uiPriority w:val="99"/>
    <w:rsid w:val="006470A1"/>
    <w:rPr>
      <w:rFonts w:ascii="Times New Roman" w:eastAsia="Times New Roman" w:hAnsi="Times New Roman" w:cs="Times New Roman"/>
      <w:sz w:val="20"/>
      <w:szCs w:val="20"/>
      <w:lang w:eastAsia="pt-BR"/>
    </w:rPr>
  </w:style>
  <w:style w:type="paragraph" w:styleId="Rodap">
    <w:name w:val="footer"/>
    <w:basedOn w:val="Normal"/>
    <w:link w:val="RodapChar"/>
    <w:uiPriority w:val="99"/>
    <w:unhideWhenUsed/>
    <w:rsid w:val="006470A1"/>
    <w:pPr>
      <w:tabs>
        <w:tab w:val="center" w:pos="4252"/>
        <w:tab w:val="right" w:pos="8504"/>
      </w:tabs>
    </w:pPr>
  </w:style>
  <w:style w:type="character" w:customStyle="1" w:styleId="RodapChar">
    <w:name w:val="Rodapé Char"/>
    <w:basedOn w:val="Fontepargpadro"/>
    <w:link w:val="Rodap"/>
    <w:uiPriority w:val="99"/>
    <w:rsid w:val="006470A1"/>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47425">
      <w:bodyDiv w:val="1"/>
      <w:marLeft w:val="0"/>
      <w:marRight w:val="0"/>
      <w:marTop w:val="0"/>
      <w:marBottom w:val="0"/>
      <w:divBdr>
        <w:top w:val="none" w:sz="0" w:space="0" w:color="auto"/>
        <w:left w:val="none" w:sz="0" w:space="0" w:color="auto"/>
        <w:bottom w:val="none" w:sz="0" w:space="0" w:color="auto"/>
        <w:right w:val="none" w:sz="0" w:space="0" w:color="auto"/>
      </w:divBdr>
    </w:div>
    <w:div w:id="54551015">
      <w:bodyDiv w:val="1"/>
      <w:marLeft w:val="0"/>
      <w:marRight w:val="0"/>
      <w:marTop w:val="0"/>
      <w:marBottom w:val="0"/>
      <w:divBdr>
        <w:top w:val="none" w:sz="0" w:space="0" w:color="auto"/>
        <w:left w:val="none" w:sz="0" w:space="0" w:color="auto"/>
        <w:bottom w:val="none" w:sz="0" w:space="0" w:color="auto"/>
        <w:right w:val="none" w:sz="0" w:space="0" w:color="auto"/>
      </w:divBdr>
    </w:div>
    <w:div w:id="60257827">
      <w:bodyDiv w:val="1"/>
      <w:marLeft w:val="0"/>
      <w:marRight w:val="0"/>
      <w:marTop w:val="0"/>
      <w:marBottom w:val="0"/>
      <w:divBdr>
        <w:top w:val="none" w:sz="0" w:space="0" w:color="auto"/>
        <w:left w:val="none" w:sz="0" w:space="0" w:color="auto"/>
        <w:bottom w:val="none" w:sz="0" w:space="0" w:color="auto"/>
        <w:right w:val="none" w:sz="0" w:space="0" w:color="auto"/>
      </w:divBdr>
    </w:div>
    <w:div w:id="110827082">
      <w:bodyDiv w:val="1"/>
      <w:marLeft w:val="0"/>
      <w:marRight w:val="0"/>
      <w:marTop w:val="0"/>
      <w:marBottom w:val="0"/>
      <w:divBdr>
        <w:top w:val="none" w:sz="0" w:space="0" w:color="auto"/>
        <w:left w:val="none" w:sz="0" w:space="0" w:color="auto"/>
        <w:bottom w:val="none" w:sz="0" w:space="0" w:color="auto"/>
        <w:right w:val="none" w:sz="0" w:space="0" w:color="auto"/>
      </w:divBdr>
    </w:div>
    <w:div w:id="158810121">
      <w:bodyDiv w:val="1"/>
      <w:marLeft w:val="0"/>
      <w:marRight w:val="0"/>
      <w:marTop w:val="0"/>
      <w:marBottom w:val="0"/>
      <w:divBdr>
        <w:top w:val="none" w:sz="0" w:space="0" w:color="auto"/>
        <w:left w:val="none" w:sz="0" w:space="0" w:color="auto"/>
        <w:bottom w:val="none" w:sz="0" w:space="0" w:color="auto"/>
        <w:right w:val="none" w:sz="0" w:space="0" w:color="auto"/>
      </w:divBdr>
    </w:div>
    <w:div w:id="442111031">
      <w:bodyDiv w:val="1"/>
      <w:marLeft w:val="0"/>
      <w:marRight w:val="0"/>
      <w:marTop w:val="0"/>
      <w:marBottom w:val="0"/>
      <w:divBdr>
        <w:top w:val="none" w:sz="0" w:space="0" w:color="auto"/>
        <w:left w:val="none" w:sz="0" w:space="0" w:color="auto"/>
        <w:bottom w:val="none" w:sz="0" w:space="0" w:color="auto"/>
        <w:right w:val="none" w:sz="0" w:space="0" w:color="auto"/>
      </w:divBdr>
    </w:div>
    <w:div w:id="1109735307">
      <w:bodyDiv w:val="1"/>
      <w:marLeft w:val="0"/>
      <w:marRight w:val="0"/>
      <w:marTop w:val="0"/>
      <w:marBottom w:val="0"/>
      <w:divBdr>
        <w:top w:val="none" w:sz="0" w:space="0" w:color="auto"/>
        <w:left w:val="none" w:sz="0" w:space="0" w:color="auto"/>
        <w:bottom w:val="none" w:sz="0" w:space="0" w:color="auto"/>
        <w:right w:val="none" w:sz="0" w:space="0" w:color="auto"/>
      </w:divBdr>
    </w:div>
    <w:div w:id="1209415652">
      <w:bodyDiv w:val="1"/>
      <w:marLeft w:val="0"/>
      <w:marRight w:val="0"/>
      <w:marTop w:val="0"/>
      <w:marBottom w:val="0"/>
      <w:divBdr>
        <w:top w:val="none" w:sz="0" w:space="0" w:color="auto"/>
        <w:left w:val="none" w:sz="0" w:space="0" w:color="auto"/>
        <w:bottom w:val="none" w:sz="0" w:space="0" w:color="auto"/>
        <w:right w:val="none" w:sz="0" w:space="0" w:color="auto"/>
      </w:divBdr>
    </w:div>
    <w:div w:id="1372413548">
      <w:bodyDiv w:val="1"/>
      <w:marLeft w:val="0"/>
      <w:marRight w:val="0"/>
      <w:marTop w:val="0"/>
      <w:marBottom w:val="0"/>
      <w:divBdr>
        <w:top w:val="none" w:sz="0" w:space="0" w:color="auto"/>
        <w:left w:val="none" w:sz="0" w:space="0" w:color="auto"/>
        <w:bottom w:val="none" w:sz="0" w:space="0" w:color="auto"/>
        <w:right w:val="none" w:sz="0" w:space="0" w:color="auto"/>
      </w:divBdr>
    </w:div>
    <w:div w:id="1430809753">
      <w:bodyDiv w:val="1"/>
      <w:marLeft w:val="0"/>
      <w:marRight w:val="0"/>
      <w:marTop w:val="0"/>
      <w:marBottom w:val="0"/>
      <w:divBdr>
        <w:top w:val="none" w:sz="0" w:space="0" w:color="auto"/>
        <w:left w:val="none" w:sz="0" w:space="0" w:color="auto"/>
        <w:bottom w:val="none" w:sz="0" w:space="0" w:color="auto"/>
        <w:right w:val="none" w:sz="0" w:space="0" w:color="auto"/>
      </w:divBdr>
    </w:div>
    <w:div w:id="1500539884">
      <w:bodyDiv w:val="1"/>
      <w:marLeft w:val="0"/>
      <w:marRight w:val="0"/>
      <w:marTop w:val="0"/>
      <w:marBottom w:val="0"/>
      <w:divBdr>
        <w:top w:val="none" w:sz="0" w:space="0" w:color="auto"/>
        <w:left w:val="none" w:sz="0" w:space="0" w:color="auto"/>
        <w:bottom w:val="none" w:sz="0" w:space="0" w:color="auto"/>
        <w:right w:val="none" w:sz="0" w:space="0" w:color="auto"/>
      </w:divBdr>
    </w:div>
    <w:div w:id="1516773867">
      <w:bodyDiv w:val="1"/>
      <w:marLeft w:val="0"/>
      <w:marRight w:val="0"/>
      <w:marTop w:val="0"/>
      <w:marBottom w:val="0"/>
      <w:divBdr>
        <w:top w:val="none" w:sz="0" w:space="0" w:color="auto"/>
        <w:left w:val="none" w:sz="0" w:space="0" w:color="auto"/>
        <w:bottom w:val="none" w:sz="0" w:space="0" w:color="auto"/>
        <w:right w:val="none" w:sz="0" w:space="0" w:color="auto"/>
      </w:divBdr>
    </w:div>
    <w:div w:id="1587182217">
      <w:bodyDiv w:val="1"/>
      <w:marLeft w:val="0"/>
      <w:marRight w:val="0"/>
      <w:marTop w:val="0"/>
      <w:marBottom w:val="0"/>
      <w:divBdr>
        <w:top w:val="none" w:sz="0" w:space="0" w:color="auto"/>
        <w:left w:val="none" w:sz="0" w:space="0" w:color="auto"/>
        <w:bottom w:val="none" w:sz="0" w:space="0" w:color="auto"/>
        <w:right w:val="none" w:sz="0" w:space="0" w:color="auto"/>
      </w:divBdr>
      <w:divsChild>
        <w:div w:id="288361543">
          <w:marLeft w:val="0"/>
          <w:marRight w:val="0"/>
          <w:marTop w:val="0"/>
          <w:marBottom w:val="0"/>
          <w:divBdr>
            <w:top w:val="single" w:sz="2" w:space="0" w:color="E3E3E3"/>
            <w:left w:val="single" w:sz="2" w:space="0" w:color="E3E3E3"/>
            <w:bottom w:val="single" w:sz="2" w:space="0" w:color="E3E3E3"/>
            <w:right w:val="single" w:sz="2" w:space="0" w:color="E3E3E3"/>
          </w:divBdr>
          <w:divsChild>
            <w:div w:id="424963941">
              <w:marLeft w:val="0"/>
              <w:marRight w:val="0"/>
              <w:marTop w:val="0"/>
              <w:marBottom w:val="0"/>
              <w:divBdr>
                <w:top w:val="single" w:sz="2" w:space="0" w:color="E3E3E3"/>
                <w:left w:val="single" w:sz="2" w:space="0" w:color="E3E3E3"/>
                <w:bottom w:val="single" w:sz="2" w:space="0" w:color="E3E3E3"/>
                <w:right w:val="single" w:sz="2" w:space="0" w:color="E3E3E3"/>
              </w:divBdr>
              <w:divsChild>
                <w:div w:id="531502706">
                  <w:marLeft w:val="0"/>
                  <w:marRight w:val="0"/>
                  <w:marTop w:val="0"/>
                  <w:marBottom w:val="0"/>
                  <w:divBdr>
                    <w:top w:val="single" w:sz="2" w:space="2" w:color="E3E3E3"/>
                    <w:left w:val="single" w:sz="2" w:space="0" w:color="E3E3E3"/>
                    <w:bottom w:val="single" w:sz="2" w:space="0" w:color="E3E3E3"/>
                    <w:right w:val="single" w:sz="2" w:space="0" w:color="E3E3E3"/>
                  </w:divBdr>
                  <w:divsChild>
                    <w:div w:id="162650350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11083790">
      <w:bodyDiv w:val="1"/>
      <w:marLeft w:val="0"/>
      <w:marRight w:val="0"/>
      <w:marTop w:val="0"/>
      <w:marBottom w:val="0"/>
      <w:divBdr>
        <w:top w:val="none" w:sz="0" w:space="0" w:color="auto"/>
        <w:left w:val="none" w:sz="0" w:space="0" w:color="auto"/>
        <w:bottom w:val="none" w:sz="0" w:space="0" w:color="auto"/>
        <w:right w:val="none" w:sz="0" w:space="0" w:color="auto"/>
      </w:divBdr>
    </w:div>
    <w:div w:id="1736317066">
      <w:bodyDiv w:val="1"/>
      <w:marLeft w:val="0"/>
      <w:marRight w:val="0"/>
      <w:marTop w:val="0"/>
      <w:marBottom w:val="0"/>
      <w:divBdr>
        <w:top w:val="none" w:sz="0" w:space="0" w:color="auto"/>
        <w:left w:val="none" w:sz="0" w:space="0" w:color="auto"/>
        <w:bottom w:val="none" w:sz="0" w:space="0" w:color="auto"/>
        <w:right w:val="none" w:sz="0" w:space="0" w:color="auto"/>
      </w:divBdr>
    </w:div>
    <w:div w:id="196472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cesso.stj.jus.br/processo/revista/documento/mediado/?componente=ITA&amp;sequencial=540433&amp;num_registro=200401553446&amp;data=20050912&amp;formato=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1F8DA-E4CE-468B-8E65-CCB7BF728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5543</Words>
  <Characters>29933</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Valera</dc:creator>
  <cp:keywords/>
  <dc:description/>
  <cp:lastModifiedBy>Renata Valera</cp:lastModifiedBy>
  <cp:revision>15</cp:revision>
  <cp:lastPrinted>2024-05-26T05:52:00Z</cp:lastPrinted>
  <dcterms:created xsi:type="dcterms:W3CDTF">2024-05-26T05:44:00Z</dcterms:created>
  <dcterms:modified xsi:type="dcterms:W3CDTF">2024-05-26T05:52:00Z</dcterms:modified>
</cp:coreProperties>
</file>