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933E6" w14:textId="13F2F6BE" w:rsidR="00A53121" w:rsidRPr="005B2B9E" w:rsidRDefault="006D47B1" w:rsidP="006D47B1">
      <w:pPr>
        <w:jc w:val="both"/>
        <w:rPr>
          <w:bCs/>
          <w:sz w:val="24"/>
          <w:szCs w:val="24"/>
        </w:rPr>
      </w:pPr>
      <w:r w:rsidRPr="005B2B9E">
        <w:rPr>
          <w:b/>
          <w:sz w:val="24"/>
          <w:szCs w:val="24"/>
        </w:rPr>
        <w:t>Nome</w:t>
      </w:r>
      <w:r w:rsidRPr="005B2B9E">
        <w:rPr>
          <w:bCs/>
          <w:sz w:val="24"/>
          <w:szCs w:val="24"/>
        </w:rPr>
        <w:t xml:space="preserve">: Renata Sampaio Valera </w:t>
      </w:r>
      <w:r w:rsidR="007E779A">
        <w:rPr>
          <w:bCs/>
          <w:sz w:val="24"/>
          <w:szCs w:val="24"/>
        </w:rPr>
        <w:t xml:space="preserve">                                                </w:t>
      </w:r>
      <w:r w:rsidR="007E779A" w:rsidRPr="007E779A">
        <w:rPr>
          <w:b/>
          <w:sz w:val="24"/>
          <w:szCs w:val="24"/>
        </w:rPr>
        <w:t xml:space="preserve">RA </w:t>
      </w:r>
      <w:r w:rsidR="007E779A" w:rsidRPr="007E779A">
        <w:rPr>
          <w:bCs/>
          <w:sz w:val="24"/>
          <w:szCs w:val="24"/>
        </w:rPr>
        <w:t>00351837</w:t>
      </w:r>
    </w:p>
    <w:p w14:paraId="601520AF" w14:textId="77777777" w:rsidR="006D47B1" w:rsidRPr="006D47B1" w:rsidRDefault="006D47B1" w:rsidP="006D47B1">
      <w:pPr>
        <w:jc w:val="both"/>
        <w:rPr>
          <w:rFonts w:ascii="Arial" w:hAnsi="Arial" w:cs="Arial"/>
          <w:bCs/>
          <w:sz w:val="24"/>
          <w:szCs w:val="24"/>
        </w:rPr>
      </w:pPr>
    </w:p>
    <w:p w14:paraId="518B96F7" w14:textId="164AA012" w:rsidR="00CF0FB3" w:rsidRDefault="00CF0FB3"/>
    <w:p w14:paraId="732B71F8" w14:textId="14D19C67" w:rsidR="00A53121" w:rsidRPr="005A7DAF" w:rsidRDefault="00CF0FB3" w:rsidP="005A7DAF">
      <w:pPr>
        <w:pStyle w:val="Ttulo2"/>
        <w:jc w:val="center"/>
        <w:rPr>
          <w:sz w:val="36"/>
          <w:szCs w:val="36"/>
          <w:u w:val="thick"/>
        </w:rPr>
      </w:pPr>
      <w:r w:rsidRPr="005A7DAF">
        <w:rPr>
          <w:sz w:val="36"/>
          <w:szCs w:val="36"/>
          <w:u w:val="thick"/>
        </w:rPr>
        <w:t>S</w:t>
      </w:r>
      <w:r w:rsidR="006672C1" w:rsidRPr="005A7DAF">
        <w:rPr>
          <w:sz w:val="36"/>
          <w:szCs w:val="36"/>
          <w:u w:val="thick"/>
        </w:rPr>
        <w:t>eminário</w:t>
      </w:r>
      <w:r w:rsidRPr="005A7DAF">
        <w:rPr>
          <w:sz w:val="36"/>
          <w:szCs w:val="36"/>
          <w:u w:val="thick"/>
        </w:rPr>
        <w:t xml:space="preserve"> IV</w:t>
      </w:r>
    </w:p>
    <w:p w14:paraId="6BD25724" w14:textId="77777777" w:rsidR="00CF0FB3" w:rsidRDefault="00CF0FB3" w:rsidP="00CF0FB3">
      <w:pPr>
        <w:spacing w:before="120"/>
        <w:ind w:left="425"/>
        <w:jc w:val="both"/>
        <w:rPr>
          <w:sz w:val="24"/>
          <w:szCs w:val="24"/>
        </w:rPr>
      </w:pPr>
    </w:p>
    <w:p w14:paraId="64C03B0A" w14:textId="20AB6F1C" w:rsidR="00A53121" w:rsidRPr="00477F22" w:rsidRDefault="00A53121" w:rsidP="00375742">
      <w:pPr>
        <w:numPr>
          <w:ilvl w:val="0"/>
          <w:numId w:val="11"/>
        </w:numPr>
        <w:tabs>
          <w:tab w:val="clear" w:pos="360"/>
          <w:tab w:val="num" w:pos="426"/>
        </w:tabs>
        <w:spacing w:before="120"/>
        <w:ind w:left="425" w:hanging="425"/>
        <w:jc w:val="both"/>
        <w:rPr>
          <w:b/>
          <w:bCs/>
          <w:sz w:val="24"/>
          <w:szCs w:val="24"/>
        </w:rPr>
      </w:pPr>
      <w:r w:rsidRPr="00477F22">
        <w:rPr>
          <w:b/>
          <w:bCs/>
          <w:sz w:val="24"/>
          <w:szCs w:val="24"/>
        </w:rPr>
        <w:t>Tomando como referência o texto constitucional, responda:</w:t>
      </w:r>
    </w:p>
    <w:p w14:paraId="0A406005" w14:textId="6CE18963" w:rsidR="00E25EA5" w:rsidRPr="00730F18" w:rsidRDefault="00A53121" w:rsidP="00E25EA5">
      <w:pPr>
        <w:numPr>
          <w:ilvl w:val="0"/>
          <w:numId w:val="12"/>
        </w:numPr>
        <w:tabs>
          <w:tab w:val="left" w:pos="1276"/>
        </w:tabs>
        <w:spacing w:before="120"/>
        <w:ind w:left="1276" w:hanging="425"/>
        <w:jc w:val="both"/>
        <w:rPr>
          <w:b/>
          <w:bCs/>
          <w:sz w:val="24"/>
          <w:szCs w:val="24"/>
        </w:rPr>
      </w:pPr>
      <w:r w:rsidRPr="00730F18">
        <w:rPr>
          <w:b/>
          <w:bCs/>
          <w:sz w:val="24"/>
          <w:szCs w:val="24"/>
        </w:rPr>
        <w:t>Quais os elementos definidores das “contribuições”</w:t>
      </w:r>
      <w:r w:rsidR="001A79C3" w:rsidRPr="00730F18">
        <w:rPr>
          <w:b/>
          <w:bCs/>
          <w:sz w:val="24"/>
          <w:szCs w:val="24"/>
        </w:rPr>
        <w:t>?</w:t>
      </w:r>
    </w:p>
    <w:p w14:paraId="4FE544F1" w14:textId="77777777" w:rsidR="00CF4986" w:rsidRDefault="0059101D" w:rsidP="0089584F">
      <w:pPr>
        <w:spacing w:before="120" w:after="120" w:line="360" w:lineRule="auto"/>
        <w:ind w:firstLine="708"/>
        <w:jc w:val="both"/>
        <w:rPr>
          <w:sz w:val="24"/>
          <w:szCs w:val="24"/>
        </w:rPr>
      </w:pPr>
      <w:r>
        <w:rPr>
          <w:sz w:val="24"/>
          <w:szCs w:val="24"/>
        </w:rPr>
        <w:t>A</w:t>
      </w:r>
      <w:r w:rsidR="00B151D0">
        <w:rPr>
          <w:sz w:val="24"/>
          <w:szCs w:val="24"/>
        </w:rPr>
        <w:t xml:space="preserve">s contribuições são espécies tributárias distintas dos impostos e das taxas, uma vez que elas podem ser conceituadas como espécies de tributos </w:t>
      </w:r>
      <w:r w:rsidR="00DD108C">
        <w:rPr>
          <w:sz w:val="24"/>
          <w:szCs w:val="24"/>
        </w:rPr>
        <w:t xml:space="preserve">com finalidade constitucionalmente definidas, ou seja, </w:t>
      </w:r>
      <w:r w:rsidR="00CE2383">
        <w:rPr>
          <w:sz w:val="24"/>
          <w:szCs w:val="24"/>
        </w:rPr>
        <w:t xml:space="preserve">sempre que uma contribuição for instituída </w:t>
      </w:r>
      <w:r w:rsidR="0066351E">
        <w:rPr>
          <w:sz w:val="24"/>
          <w:szCs w:val="24"/>
        </w:rPr>
        <w:t xml:space="preserve">haverá um determinado fim. </w:t>
      </w:r>
    </w:p>
    <w:p w14:paraId="78F441F3" w14:textId="4DDB541D" w:rsidR="00CF4986" w:rsidRDefault="00CF4986" w:rsidP="00CF4986">
      <w:pPr>
        <w:spacing w:before="120" w:after="120" w:line="360" w:lineRule="auto"/>
        <w:ind w:firstLine="708"/>
        <w:jc w:val="both"/>
        <w:rPr>
          <w:sz w:val="24"/>
          <w:szCs w:val="24"/>
        </w:rPr>
      </w:pPr>
      <w:r>
        <w:rPr>
          <w:sz w:val="24"/>
          <w:szCs w:val="24"/>
        </w:rPr>
        <w:t xml:space="preserve">Segundo Geraldo Ataliba </w:t>
      </w:r>
      <w:r w:rsidRPr="005871C5">
        <w:rPr>
          <w:i/>
          <w:iCs/>
          <w:sz w:val="24"/>
          <w:szCs w:val="24"/>
        </w:rPr>
        <w:t>“há uma sugestão mínima que indica que as contribuições são tributos que não se confundem com imposto</w:t>
      </w:r>
      <w:r>
        <w:rPr>
          <w:i/>
          <w:iCs/>
          <w:sz w:val="24"/>
          <w:szCs w:val="24"/>
        </w:rPr>
        <w:t>s ou com taxas, na catadura geral e funcionalidade”</w:t>
      </w:r>
      <w:r>
        <w:rPr>
          <w:rStyle w:val="Refdenotaderodap"/>
          <w:i/>
          <w:iCs/>
          <w:sz w:val="24"/>
          <w:szCs w:val="24"/>
        </w:rPr>
        <w:footnoteReference w:id="1"/>
      </w:r>
      <w:r>
        <w:rPr>
          <w:sz w:val="24"/>
          <w:szCs w:val="24"/>
        </w:rPr>
        <w:t>.</w:t>
      </w:r>
    </w:p>
    <w:p w14:paraId="2790F78A" w14:textId="1AECBAAA" w:rsidR="00387A7A" w:rsidRDefault="00B151D0" w:rsidP="00B367A4">
      <w:pPr>
        <w:spacing w:before="120" w:after="120" w:line="360" w:lineRule="auto"/>
        <w:ind w:firstLine="708"/>
        <w:jc w:val="both"/>
        <w:rPr>
          <w:sz w:val="24"/>
          <w:szCs w:val="24"/>
        </w:rPr>
      </w:pPr>
      <w:r>
        <w:rPr>
          <w:sz w:val="24"/>
          <w:szCs w:val="24"/>
        </w:rPr>
        <w:t xml:space="preserve"> </w:t>
      </w:r>
      <w:r w:rsidR="00E73B31">
        <w:rPr>
          <w:sz w:val="24"/>
          <w:szCs w:val="24"/>
        </w:rPr>
        <w:t xml:space="preserve">Quando falamos em contribuições, estaremos fazendo alusão </w:t>
      </w:r>
      <w:r w:rsidR="004F4F59">
        <w:rPr>
          <w:sz w:val="24"/>
          <w:szCs w:val="24"/>
        </w:rPr>
        <w:t xml:space="preserve">exatamente àquelas diversas às de melhoria, referidas nos artigos </w:t>
      </w:r>
      <w:r w:rsidR="007C4002">
        <w:rPr>
          <w:sz w:val="24"/>
          <w:szCs w:val="24"/>
        </w:rPr>
        <w:t>149 e 195 da Constituição Federal</w:t>
      </w:r>
      <w:r w:rsidR="009273ED">
        <w:rPr>
          <w:sz w:val="24"/>
          <w:szCs w:val="24"/>
        </w:rPr>
        <w:t xml:space="preserve">. </w:t>
      </w:r>
      <w:r w:rsidR="00DF269B">
        <w:rPr>
          <w:sz w:val="24"/>
          <w:szCs w:val="24"/>
        </w:rPr>
        <w:t xml:space="preserve">Apesar de terem </w:t>
      </w:r>
      <w:r w:rsidR="006E057A">
        <w:rPr>
          <w:sz w:val="24"/>
          <w:szCs w:val="24"/>
        </w:rPr>
        <w:t xml:space="preserve">nomenclatura semelhante, elas não se confundem, uma vez que as contribuições </w:t>
      </w:r>
      <w:r w:rsidR="00CF4986">
        <w:rPr>
          <w:sz w:val="24"/>
          <w:szCs w:val="24"/>
        </w:rPr>
        <w:t xml:space="preserve">requerem fundamento </w:t>
      </w:r>
      <w:r w:rsidR="00B367A4">
        <w:rPr>
          <w:sz w:val="24"/>
          <w:szCs w:val="24"/>
        </w:rPr>
        <w:t>constitucional para sua instituição, por terem em sua hipótese incidência a descrição de uma ocorrência não vinculada a qualquer atividade estatal, exigirem destinação legal específica para o produto da sua arrecadação e não serem passíveis de restituição.</w:t>
      </w:r>
    </w:p>
    <w:p w14:paraId="7762FA03" w14:textId="2FD55E57" w:rsidR="00E25EA5" w:rsidRPr="00DA0CA1" w:rsidRDefault="0066351E" w:rsidP="0089584F">
      <w:pPr>
        <w:spacing w:before="120" w:after="120" w:line="360" w:lineRule="auto"/>
        <w:ind w:firstLine="708"/>
        <w:jc w:val="both"/>
        <w:rPr>
          <w:sz w:val="24"/>
          <w:szCs w:val="24"/>
        </w:rPr>
      </w:pPr>
      <w:r>
        <w:rPr>
          <w:sz w:val="24"/>
          <w:szCs w:val="24"/>
        </w:rPr>
        <w:t>Diante diss</w:t>
      </w:r>
      <w:r w:rsidR="00AA0052">
        <w:rPr>
          <w:sz w:val="24"/>
          <w:szCs w:val="24"/>
        </w:rPr>
        <w:t>o, concluímos que os elementos definidores das contribuições são (i)</w:t>
      </w:r>
      <w:r w:rsidR="00160282" w:rsidRPr="00160282">
        <w:t xml:space="preserve"> </w:t>
      </w:r>
      <w:r w:rsidR="00160282" w:rsidRPr="00160282">
        <w:rPr>
          <w:sz w:val="24"/>
          <w:szCs w:val="24"/>
        </w:rPr>
        <w:t>fundamento constitucional distinto, a ser submetido a contraste constitucional (necessidade e adequação da atuação) e (</w:t>
      </w:r>
      <w:proofErr w:type="spellStart"/>
      <w:r w:rsidR="00160282" w:rsidRPr="00160282">
        <w:rPr>
          <w:sz w:val="24"/>
          <w:szCs w:val="24"/>
        </w:rPr>
        <w:t>ii</w:t>
      </w:r>
      <w:proofErr w:type="spellEnd"/>
      <w:r w:rsidR="00160282" w:rsidRPr="00160282">
        <w:rPr>
          <w:sz w:val="24"/>
          <w:szCs w:val="24"/>
        </w:rPr>
        <w:t>) destinação vinculada.</w:t>
      </w:r>
    </w:p>
    <w:p w14:paraId="4C37318B" w14:textId="1DEA456C" w:rsidR="001A79C3" w:rsidRPr="0089584F" w:rsidRDefault="00A53121" w:rsidP="00DA0CA1">
      <w:pPr>
        <w:numPr>
          <w:ilvl w:val="0"/>
          <w:numId w:val="12"/>
        </w:numPr>
        <w:tabs>
          <w:tab w:val="left" w:pos="1276"/>
        </w:tabs>
        <w:spacing w:before="120"/>
        <w:ind w:left="1276" w:hanging="425"/>
        <w:jc w:val="both"/>
        <w:rPr>
          <w:b/>
          <w:bCs/>
          <w:sz w:val="24"/>
          <w:szCs w:val="24"/>
        </w:rPr>
      </w:pPr>
      <w:r w:rsidRPr="0089584F">
        <w:rPr>
          <w:b/>
          <w:bCs/>
          <w:sz w:val="24"/>
          <w:szCs w:val="24"/>
        </w:rPr>
        <w:t>A destinação do produto da arrecadação tributária é relevante para a classificação jurídica dos tributos e consequente definição das contribuições? Considerar, na análise da pergunta, o art. 167, IV, da CF/88, e o art. 4º do CTN.</w:t>
      </w:r>
    </w:p>
    <w:p w14:paraId="6EA4D559" w14:textId="53536123" w:rsidR="0089584F" w:rsidRDefault="0010159F" w:rsidP="00B54895">
      <w:pPr>
        <w:tabs>
          <w:tab w:val="left" w:pos="1276"/>
        </w:tabs>
        <w:spacing w:before="120" w:after="120" w:line="360" w:lineRule="auto"/>
        <w:ind w:firstLine="1276"/>
        <w:jc w:val="both"/>
        <w:rPr>
          <w:sz w:val="24"/>
          <w:szCs w:val="24"/>
        </w:rPr>
      </w:pPr>
      <w:r w:rsidRPr="0010159F">
        <w:rPr>
          <w:sz w:val="24"/>
          <w:szCs w:val="24"/>
        </w:rPr>
        <w:lastRenderedPageBreak/>
        <w:t>Sim, a destinação do produto da arrecadação tributária é relevante para a classificação jurídica dos tributos e, consequentemente, para a definição das contribuições</w:t>
      </w:r>
      <w:r w:rsidR="00F70481">
        <w:rPr>
          <w:sz w:val="24"/>
          <w:szCs w:val="24"/>
        </w:rPr>
        <w:t xml:space="preserve">, uma vez que as contribuições são instrumentos tendentes </w:t>
      </w:r>
      <w:proofErr w:type="gramStart"/>
      <w:r w:rsidR="00F70481">
        <w:rPr>
          <w:sz w:val="24"/>
          <w:szCs w:val="24"/>
        </w:rPr>
        <w:t>à</w:t>
      </w:r>
      <w:proofErr w:type="gramEnd"/>
      <w:r w:rsidR="00F70481">
        <w:rPr>
          <w:sz w:val="24"/>
          <w:szCs w:val="24"/>
        </w:rPr>
        <w:t xml:space="preserve"> viabilizar a atuação</w:t>
      </w:r>
      <w:r w:rsidR="008D7D92">
        <w:rPr>
          <w:sz w:val="24"/>
          <w:szCs w:val="24"/>
        </w:rPr>
        <w:t xml:space="preserve"> da União Federal em setor específico de uma das áreas apontadas pela Carta Magna. </w:t>
      </w:r>
      <w:r w:rsidR="004C78F3">
        <w:rPr>
          <w:sz w:val="24"/>
          <w:szCs w:val="24"/>
        </w:rPr>
        <w:t>Diferente dos impostos, as contribuições possuem vinculação à uma atividade estatal, de forma</w:t>
      </w:r>
      <w:r w:rsidR="009B5DD2">
        <w:rPr>
          <w:sz w:val="24"/>
          <w:szCs w:val="24"/>
        </w:rPr>
        <w:t xml:space="preserve"> que o destino auxilia na classificação jurídica, bem </w:t>
      </w:r>
      <w:r w:rsidR="00B54895">
        <w:rPr>
          <w:sz w:val="24"/>
          <w:szCs w:val="24"/>
        </w:rPr>
        <w:t>como na</w:t>
      </w:r>
      <w:r w:rsidR="009B5DD2">
        <w:rPr>
          <w:sz w:val="24"/>
          <w:szCs w:val="24"/>
        </w:rPr>
        <w:t xml:space="preserve"> definição do tipo de contribuição</w:t>
      </w:r>
      <w:r w:rsidR="00B54895">
        <w:rPr>
          <w:sz w:val="24"/>
          <w:szCs w:val="24"/>
        </w:rPr>
        <w:t xml:space="preserve"> que poderá ser aplicado em determinado fato gerador. </w:t>
      </w:r>
      <w:r w:rsidRPr="0010159F">
        <w:rPr>
          <w:sz w:val="24"/>
          <w:szCs w:val="24"/>
        </w:rPr>
        <w:t>Tanto o artigo 167, IV, da Constituição Federal de 1988 quanto o artigo 4º do Código Tributário Nacional (CTN) abordam essa questão.</w:t>
      </w:r>
    </w:p>
    <w:p w14:paraId="11E57F52" w14:textId="77777777" w:rsidR="00C161FD" w:rsidRDefault="0010159F" w:rsidP="00C161FD">
      <w:pPr>
        <w:tabs>
          <w:tab w:val="left" w:pos="1276"/>
        </w:tabs>
        <w:spacing w:before="120" w:after="120" w:line="360" w:lineRule="auto"/>
        <w:ind w:firstLine="1276"/>
        <w:jc w:val="both"/>
        <w:rPr>
          <w:sz w:val="24"/>
          <w:szCs w:val="24"/>
        </w:rPr>
      </w:pPr>
      <w:r w:rsidRPr="0010159F">
        <w:rPr>
          <w:sz w:val="24"/>
          <w:szCs w:val="24"/>
        </w:rPr>
        <w:t>O artigo 167, IV, da CF/88 estabelece que é vedada a vinculação de receita de impostos a órgão, fundo ou despesa, ressalvadas as exceções previstas na própria Constituição. Isso significa que a receita proveniente de impostos, que são uma espécie de tributo sem destinação específica, não pode ser diretamente destinada a determinadas finalidades, sendo recolhida para o Tesouro Nacional e posteriormente distribuída conforme os critérios estabelecidos em lei.</w:t>
      </w:r>
    </w:p>
    <w:p w14:paraId="27C0B13B" w14:textId="77777777" w:rsidR="00FF7BD9" w:rsidRDefault="0010159F" w:rsidP="00FF7BD9">
      <w:pPr>
        <w:tabs>
          <w:tab w:val="left" w:pos="1276"/>
        </w:tabs>
        <w:spacing w:before="120" w:after="120" w:line="360" w:lineRule="auto"/>
        <w:ind w:firstLine="1276"/>
        <w:jc w:val="both"/>
        <w:rPr>
          <w:sz w:val="24"/>
          <w:szCs w:val="24"/>
        </w:rPr>
      </w:pPr>
      <w:r w:rsidRPr="0010159F">
        <w:rPr>
          <w:sz w:val="24"/>
          <w:szCs w:val="24"/>
        </w:rPr>
        <w:t>Por outro lado, o artigo 4º do CTN define tributo como "toda prestação pecuniária compulsória, em moeda ou cujo valor nela se possa exprimir, que não constitua sanção de ato ilícito, instituída em lei e cobrada mediante atividade administrativa plenamente vinculada". Nessa definição, não há menção específica à destinação da receita como critério para a classificação dos tributos.</w:t>
      </w:r>
    </w:p>
    <w:p w14:paraId="3AE48412" w14:textId="77777777" w:rsidR="000935E7" w:rsidRDefault="0010159F" w:rsidP="000935E7">
      <w:pPr>
        <w:tabs>
          <w:tab w:val="left" w:pos="1276"/>
        </w:tabs>
        <w:spacing w:before="120" w:after="120" w:line="360" w:lineRule="auto"/>
        <w:ind w:firstLine="1276"/>
        <w:jc w:val="both"/>
        <w:rPr>
          <w:sz w:val="24"/>
          <w:szCs w:val="24"/>
        </w:rPr>
      </w:pPr>
      <w:r w:rsidRPr="0010159F">
        <w:rPr>
          <w:sz w:val="24"/>
          <w:szCs w:val="24"/>
        </w:rPr>
        <w:t>No entanto, a destinação do produto da arrecadação pode ser um elemento relevante para a classificação dos tributos como contribuições especiais, que são uma categoria específica de tributos com destinação vinculada a determinadas atividades ou serviços públicos. As contribuições especiais, diferentemente dos impostos, têm uma finalidade específica e são cobradas para custear despesas relacionadas a áreas como seguridade social, intervenção no domínio econômico e outras atividades específicas previstas em lei.</w:t>
      </w:r>
    </w:p>
    <w:p w14:paraId="03B0BBCD" w14:textId="3D7FEB06" w:rsidR="00B8222B" w:rsidRPr="00DA0CA1" w:rsidRDefault="0010159F" w:rsidP="000935E7">
      <w:pPr>
        <w:tabs>
          <w:tab w:val="left" w:pos="1276"/>
        </w:tabs>
        <w:spacing w:before="120" w:after="120" w:line="360" w:lineRule="auto"/>
        <w:ind w:firstLine="1276"/>
        <w:jc w:val="both"/>
        <w:rPr>
          <w:sz w:val="24"/>
          <w:szCs w:val="24"/>
        </w:rPr>
      </w:pPr>
      <w:r w:rsidRPr="0010159F">
        <w:rPr>
          <w:sz w:val="24"/>
          <w:szCs w:val="24"/>
        </w:rPr>
        <w:lastRenderedPageBreak/>
        <w:t>Portanto, embora a destinação do produto da arrecadação não seja o único critério para a classificação dos tributos e das contribuições, ela certamente é relevante para diferenciar os impostos das contribuições especiais.</w:t>
      </w:r>
    </w:p>
    <w:p w14:paraId="07443F91" w14:textId="65E88BCD" w:rsidR="00D979CF" w:rsidRPr="008E5B82" w:rsidRDefault="00A53121" w:rsidP="00EF67AA">
      <w:pPr>
        <w:numPr>
          <w:ilvl w:val="0"/>
          <w:numId w:val="12"/>
        </w:numPr>
        <w:tabs>
          <w:tab w:val="left" w:pos="1276"/>
        </w:tabs>
        <w:spacing w:before="120"/>
        <w:ind w:left="1276" w:hanging="425"/>
        <w:jc w:val="both"/>
        <w:rPr>
          <w:b/>
          <w:bCs/>
          <w:sz w:val="24"/>
          <w:szCs w:val="24"/>
        </w:rPr>
      </w:pPr>
      <w:r w:rsidRPr="000935E7">
        <w:rPr>
          <w:b/>
          <w:bCs/>
          <w:sz w:val="24"/>
          <w:szCs w:val="24"/>
        </w:rPr>
        <w:t xml:space="preserve">Quais as espécies de contribuição existentes? Quais os critérios jurídicos que informam essa classificação? </w:t>
      </w:r>
    </w:p>
    <w:p w14:paraId="1CB0FDAC" w14:textId="2E5FC1DE" w:rsidR="00B173E5" w:rsidRDefault="00D979CF" w:rsidP="00A63EE7">
      <w:pPr>
        <w:tabs>
          <w:tab w:val="left" w:pos="1276"/>
        </w:tabs>
        <w:spacing w:before="120" w:after="120" w:line="360" w:lineRule="auto"/>
        <w:ind w:firstLine="1276"/>
        <w:jc w:val="both"/>
        <w:rPr>
          <w:sz w:val="24"/>
          <w:szCs w:val="24"/>
        </w:rPr>
      </w:pPr>
      <w:r>
        <w:rPr>
          <w:sz w:val="24"/>
          <w:szCs w:val="24"/>
        </w:rPr>
        <w:t>O</w:t>
      </w:r>
      <w:r w:rsidR="000C6F0A">
        <w:rPr>
          <w:sz w:val="24"/>
          <w:szCs w:val="24"/>
        </w:rPr>
        <w:t xml:space="preserve"> legislador constituinte previu a possibilidade </w:t>
      </w:r>
      <w:r w:rsidR="005D5898">
        <w:rPr>
          <w:sz w:val="24"/>
          <w:szCs w:val="24"/>
        </w:rPr>
        <w:t>de a</w:t>
      </w:r>
      <w:r w:rsidR="000C6F0A">
        <w:rPr>
          <w:sz w:val="24"/>
          <w:szCs w:val="24"/>
        </w:rPr>
        <w:t xml:space="preserve"> União instituir </w:t>
      </w:r>
      <w:r w:rsidR="00500787">
        <w:rPr>
          <w:sz w:val="24"/>
          <w:szCs w:val="24"/>
        </w:rPr>
        <w:t xml:space="preserve">seis </w:t>
      </w:r>
      <w:r w:rsidR="000C6F0A">
        <w:rPr>
          <w:sz w:val="24"/>
          <w:szCs w:val="24"/>
        </w:rPr>
        <w:t xml:space="preserve">espécies de contribuições, </w:t>
      </w:r>
      <w:r w:rsidR="00F73EA7">
        <w:rPr>
          <w:sz w:val="24"/>
          <w:szCs w:val="24"/>
        </w:rPr>
        <w:t xml:space="preserve">interpretando conjuntamente os artigos </w:t>
      </w:r>
      <w:r w:rsidR="006D0986">
        <w:rPr>
          <w:sz w:val="24"/>
          <w:szCs w:val="24"/>
        </w:rPr>
        <w:t>149, 149-A, 195, 239</w:t>
      </w:r>
      <w:r w:rsidR="008B2344">
        <w:rPr>
          <w:sz w:val="24"/>
          <w:szCs w:val="24"/>
        </w:rPr>
        <w:t xml:space="preserve">, bem como </w:t>
      </w:r>
      <w:r w:rsidR="002C1301">
        <w:rPr>
          <w:sz w:val="24"/>
          <w:szCs w:val="24"/>
        </w:rPr>
        <w:t>o</w:t>
      </w:r>
      <w:r w:rsidR="002C1301" w:rsidRPr="002C1301">
        <w:rPr>
          <w:sz w:val="24"/>
          <w:szCs w:val="24"/>
        </w:rPr>
        <w:t xml:space="preserve"> </w:t>
      </w:r>
      <w:r w:rsidR="002C1301">
        <w:rPr>
          <w:sz w:val="24"/>
          <w:szCs w:val="24"/>
        </w:rPr>
        <w:t>artigo 74 do ADCT</w:t>
      </w:r>
      <w:r w:rsidR="004626B9">
        <w:rPr>
          <w:sz w:val="24"/>
          <w:szCs w:val="24"/>
        </w:rPr>
        <w:t xml:space="preserve">. </w:t>
      </w:r>
      <w:r w:rsidR="005D5898">
        <w:rPr>
          <w:sz w:val="24"/>
          <w:szCs w:val="24"/>
        </w:rPr>
        <w:t>São elas (i) as Contribuições Sociais</w:t>
      </w:r>
      <w:r w:rsidR="004626B9">
        <w:rPr>
          <w:sz w:val="24"/>
          <w:szCs w:val="24"/>
        </w:rPr>
        <w:t xml:space="preserve"> (art. 149 CF/88)</w:t>
      </w:r>
      <w:r w:rsidR="002B0EE9">
        <w:rPr>
          <w:sz w:val="24"/>
          <w:szCs w:val="24"/>
        </w:rPr>
        <w:t>;</w:t>
      </w:r>
      <w:r w:rsidR="005D5898">
        <w:rPr>
          <w:sz w:val="24"/>
          <w:szCs w:val="24"/>
        </w:rPr>
        <w:t xml:space="preserve"> (</w:t>
      </w:r>
      <w:proofErr w:type="spellStart"/>
      <w:r w:rsidR="005D5898">
        <w:rPr>
          <w:sz w:val="24"/>
          <w:szCs w:val="24"/>
        </w:rPr>
        <w:t>ii</w:t>
      </w:r>
      <w:proofErr w:type="spellEnd"/>
      <w:r w:rsidR="005D5898">
        <w:rPr>
          <w:sz w:val="24"/>
          <w:szCs w:val="24"/>
        </w:rPr>
        <w:t>) as Contribuições de Intervenção no Domínio Econômico</w:t>
      </w:r>
      <w:r w:rsidR="004626B9">
        <w:rPr>
          <w:sz w:val="24"/>
          <w:szCs w:val="24"/>
        </w:rPr>
        <w:t xml:space="preserve"> (art. 149 CF/88)</w:t>
      </w:r>
      <w:r w:rsidR="002B0EE9">
        <w:rPr>
          <w:sz w:val="24"/>
          <w:szCs w:val="24"/>
        </w:rPr>
        <w:t>;</w:t>
      </w:r>
      <w:r w:rsidR="00FC1991">
        <w:rPr>
          <w:sz w:val="24"/>
          <w:szCs w:val="24"/>
        </w:rPr>
        <w:t xml:space="preserve"> e (</w:t>
      </w:r>
      <w:proofErr w:type="spellStart"/>
      <w:r w:rsidR="00FC1991">
        <w:rPr>
          <w:sz w:val="24"/>
          <w:szCs w:val="24"/>
        </w:rPr>
        <w:t>iii</w:t>
      </w:r>
      <w:proofErr w:type="spellEnd"/>
      <w:r w:rsidR="00FC1991">
        <w:rPr>
          <w:sz w:val="24"/>
          <w:szCs w:val="24"/>
        </w:rPr>
        <w:t>) as Contribuições de Interesse de Categorias Profissionais ou Econômicas</w:t>
      </w:r>
      <w:r w:rsidR="004626B9">
        <w:rPr>
          <w:sz w:val="24"/>
          <w:szCs w:val="24"/>
        </w:rPr>
        <w:t>/</w:t>
      </w:r>
      <w:r w:rsidR="00FC1991">
        <w:rPr>
          <w:sz w:val="24"/>
          <w:szCs w:val="24"/>
        </w:rPr>
        <w:t>Contribuições Corporativas</w:t>
      </w:r>
      <w:r w:rsidR="004626B9">
        <w:rPr>
          <w:sz w:val="24"/>
          <w:szCs w:val="24"/>
        </w:rPr>
        <w:t xml:space="preserve"> (art. 149 CF/88)</w:t>
      </w:r>
      <w:r w:rsidR="00C86A04">
        <w:rPr>
          <w:sz w:val="24"/>
          <w:szCs w:val="24"/>
        </w:rPr>
        <w:t>; (</w:t>
      </w:r>
      <w:proofErr w:type="spellStart"/>
      <w:r w:rsidR="00C86A04">
        <w:rPr>
          <w:sz w:val="24"/>
          <w:szCs w:val="24"/>
        </w:rPr>
        <w:t>iv</w:t>
      </w:r>
      <w:proofErr w:type="spellEnd"/>
      <w:r w:rsidR="00C86A04">
        <w:rPr>
          <w:sz w:val="24"/>
          <w:szCs w:val="24"/>
        </w:rPr>
        <w:t>) Contribuições para o Custeio da Seguridade Social (</w:t>
      </w:r>
      <w:r w:rsidR="00962206">
        <w:rPr>
          <w:sz w:val="24"/>
          <w:szCs w:val="24"/>
        </w:rPr>
        <w:t>art. 195, 239 da CF/88 e 74 ADCT)</w:t>
      </w:r>
      <w:r w:rsidR="00A67FDD">
        <w:rPr>
          <w:sz w:val="24"/>
          <w:szCs w:val="24"/>
        </w:rPr>
        <w:t xml:space="preserve">; </w:t>
      </w:r>
      <w:r w:rsidR="000E64C8">
        <w:rPr>
          <w:sz w:val="24"/>
          <w:szCs w:val="24"/>
        </w:rPr>
        <w:t xml:space="preserve">(v) </w:t>
      </w:r>
      <w:r w:rsidR="00A67FDD">
        <w:rPr>
          <w:sz w:val="24"/>
          <w:szCs w:val="24"/>
        </w:rPr>
        <w:t>Contribuição para o Custeio do Regime</w:t>
      </w:r>
      <w:r w:rsidR="000814C8">
        <w:rPr>
          <w:sz w:val="24"/>
          <w:szCs w:val="24"/>
        </w:rPr>
        <w:t xml:space="preserve"> Próprio da Previdência dos Servidores Públicos (art. 40 e 149, §1º CF/88) e (</w:t>
      </w:r>
      <w:r w:rsidR="000E64C8">
        <w:rPr>
          <w:sz w:val="24"/>
          <w:szCs w:val="24"/>
        </w:rPr>
        <w:t xml:space="preserve">vi) Contribuição para Iluminação Pública – COSIP (art. </w:t>
      </w:r>
      <w:r w:rsidR="004135A4">
        <w:rPr>
          <w:sz w:val="24"/>
          <w:szCs w:val="24"/>
        </w:rPr>
        <w:t>149-A).</w:t>
      </w:r>
      <w:r w:rsidR="00C06B1E">
        <w:rPr>
          <w:sz w:val="24"/>
          <w:szCs w:val="24"/>
        </w:rPr>
        <w:t xml:space="preserve"> </w:t>
      </w:r>
    </w:p>
    <w:p w14:paraId="5CA9EE41" w14:textId="24ABC24A" w:rsidR="004626B9" w:rsidRDefault="00C06B1E" w:rsidP="004626B9">
      <w:pPr>
        <w:tabs>
          <w:tab w:val="left" w:pos="1276"/>
        </w:tabs>
        <w:spacing w:before="120" w:after="120" w:line="360" w:lineRule="auto"/>
        <w:ind w:firstLine="1276"/>
        <w:jc w:val="both"/>
        <w:rPr>
          <w:sz w:val="24"/>
          <w:szCs w:val="24"/>
        </w:rPr>
      </w:pPr>
      <w:r>
        <w:rPr>
          <w:sz w:val="24"/>
          <w:szCs w:val="24"/>
        </w:rPr>
        <w:t xml:space="preserve">De tais definições, surgem uma série </w:t>
      </w:r>
      <w:r w:rsidR="00A53C78">
        <w:rPr>
          <w:sz w:val="24"/>
          <w:szCs w:val="24"/>
        </w:rPr>
        <w:t>de contribuições do texto constitucional autorizadas pelos mesmos</w:t>
      </w:r>
      <w:r w:rsidR="00BF6897">
        <w:rPr>
          <w:sz w:val="24"/>
          <w:szCs w:val="24"/>
        </w:rPr>
        <w:t>, as chamadas Contribuições Residuais</w:t>
      </w:r>
      <w:r w:rsidR="00A53C78">
        <w:rPr>
          <w:sz w:val="24"/>
          <w:szCs w:val="24"/>
        </w:rPr>
        <w:t xml:space="preserve">. </w:t>
      </w:r>
    </w:p>
    <w:p w14:paraId="364F0A3C" w14:textId="63C1B2F7" w:rsidR="00E23EF3" w:rsidRDefault="00DB4755" w:rsidP="004626B9">
      <w:pPr>
        <w:tabs>
          <w:tab w:val="left" w:pos="1276"/>
        </w:tabs>
        <w:spacing w:before="120" w:after="120" w:line="360" w:lineRule="auto"/>
        <w:ind w:firstLine="1276"/>
        <w:jc w:val="both"/>
        <w:rPr>
          <w:sz w:val="24"/>
          <w:szCs w:val="24"/>
        </w:rPr>
      </w:pPr>
      <w:r>
        <w:rPr>
          <w:sz w:val="24"/>
          <w:szCs w:val="24"/>
        </w:rPr>
        <w:t>Nesse sentido,</w:t>
      </w:r>
      <w:r w:rsidR="007F74DC">
        <w:rPr>
          <w:sz w:val="24"/>
          <w:szCs w:val="24"/>
        </w:rPr>
        <w:t xml:space="preserve"> o professor Paulo de Barros Carvalho</w:t>
      </w:r>
      <w:r>
        <w:rPr>
          <w:sz w:val="24"/>
          <w:szCs w:val="24"/>
        </w:rPr>
        <w:t xml:space="preserve"> disciplina</w:t>
      </w:r>
      <w:r w:rsidR="00E23EF3">
        <w:rPr>
          <w:sz w:val="24"/>
          <w:szCs w:val="24"/>
        </w:rPr>
        <w:t>:</w:t>
      </w:r>
    </w:p>
    <w:p w14:paraId="11C8D0C5" w14:textId="06BA0C4D" w:rsidR="007F74DC" w:rsidRDefault="007F74DC" w:rsidP="00E23EF3">
      <w:pPr>
        <w:tabs>
          <w:tab w:val="left" w:pos="1276"/>
        </w:tabs>
        <w:spacing w:before="120" w:after="120"/>
        <w:ind w:left="2268"/>
        <w:jc w:val="both"/>
        <w:rPr>
          <w:i/>
          <w:iCs/>
          <w:sz w:val="22"/>
          <w:szCs w:val="22"/>
        </w:rPr>
      </w:pPr>
      <w:r w:rsidRPr="00E23EF3">
        <w:rPr>
          <w:i/>
          <w:iCs/>
          <w:sz w:val="22"/>
          <w:szCs w:val="22"/>
        </w:rPr>
        <w:t xml:space="preserve"> “Por outro lado</w:t>
      </w:r>
      <w:r w:rsidR="005F6DB9" w:rsidRPr="00E23EF3">
        <w:rPr>
          <w:i/>
          <w:iCs/>
          <w:sz w:val="22"/>
          <w:szCs w:val="22"/>
        </w:rPr>
        <w:t>, caso se pretenda instituir contribuição incidente sobre fato não relacionado no artigo 153 (competência da União), é impreterível o cumprimento</w:t>
      </w:r>
      <w:r w:rsidR="00C92FBD" w:rsidRPr="00E23EF3">
        <w:rPr>
          <w:i/>
          <w:iCs/>
          <w:sz w:val="22"/>
          <w:szCs w:val="22"/>
        </w:rPr>
        <w:t xml:space="preserve"> dos requisitos do artigo 154, I, que dispõe sobre a competência</w:t>
      </w:r>
      <w:r w:rsidR="00E23EF3" w:rsidRPr="00E23EF3">
        <w:rPr>
          <w:i/>
          <w:iCs/>
          <w:sz w:val="22"/>
          <w:szCs w:val="22"/>
        </w:rPr>
        <w:t xml:space="preserve"> residual da União. Isso porque</w:t>
      </w:r>
      <w:r w:rsidR="00A21C53">
        <w:rPr>
          <w:i/>
          <w:iCs/>
          <w:sz w:val="22"/>
          <w:szCs w:val="22"/>
        </w:rPr>
        <w:t>, além das fontes de custeio da seguridade social previamente arroladas no texto da constituição</w:t>
      </w:r>
      <w:r w:rsidR="00DB4755">
        <w:rPr>
          <w:i/>
          <w:iCs/>
          <w:sz w:val="22"/>
          <w:szCs w:val="22"/>
        </w:rPr>
        <w:t>, o artigo 195, 4º, estabelece a possi</w:t>
      </w:r>
      <w:r w:rsidR="005550E4">
        <w:rPr>
          <w:i/>
          <w:iCs/>
          <w:sz w:val="22"/>
          <w:szCs w:val="22"/>
        </w:rPr>
        <w:t>bilidade de serem instituídas outras fontes que tenham por finalidade garantir a manutenção e expansão da seguridade socia</w:t>
      </w:r>
      <w:r w:rsidR="00BF6897">
        <w:rPr>
          <w:i/>
          <w:iCs/>
          <w:sz w:val="22"/>
          <w:szCs w:val="22"/>
        </w:rPr>
        <w:t>l. Essas novas fontes são as referidas “contribuições residuais”</w:t>
      </w:r>
      <w:r w:rsidR="00B92BCE">
        <w:rPr>
          <w:i/>
          <w:iCs/>
          <w:sz w:val="22"/>
          <w:szCs w:val="22"/>
        </w:rPr>
        <w:t xml:space="preserve"> e sujeitam-se ao mesmo regime jurídico</w:t>
      </w:r>
      <w:r w:rsidR="00587529">
        <w:rPr>
          <w:i/>
          <w:iCs/>
          <w:sz w:val="22"/>
          <w:szCs w:val="22"/>
        </w:rPr>
        <w:t xml:space="preserve"> dos impostos residuais, motivo pelo qual e impõe à observância dos requisitos prescritos no</w:t>
      </w:r>
      <w:r w:rsidR="008E617F">
        <w:rPr>
          <w:i/>
          <w:iCs/>
          <w:sz w:val="22"/>
          <w:szCs w:val="22"/>
        </w:rPr>
        <w:t xml:space="preserve"> artigo </w:t>
      </w:r>
      <w:proofErr w:type="gramStart"/>
      <w:r w:rsidR="008E617F">
        <w:rPr>
          <w:i/>
          <w:iCs/>
          <w:sz w:val="22"/>
          <w:szCs w:val="22"/>
        </w:rPr>
        <w:t>154,I</w:t>
      </w:r>
      <w:proofErr w:type="gramEnd"/>
      <w:r w:rsidR="008E617F">
        <w:rPr>
          <w:i/>
          <w:iCs/>
          <w:sz w:val="22"/>
          <w:szCs w:val="22"/>
        </w:rPr>
        <w:t xml:space="preserve"> da Constituição”</w:t>
      </w:r>
      <w:r w:rsidR="00F65EF2">
        <w:rPr>
          <w:rStyle w:val="Refdenotaderodap"/>
          <w:i/>
          <w:iCs/>
          <w:sz w:val="22"/>
          <w:szCs w:val="22"/>
        </w:rPr>
        <w:footnoteReference w:id="2"/>
      </w:r>
      <w:r w:rsidR="008E617F">
        <w:rPr>
          <w:i/>
          <w:iCs/>
          <w:sz w:val="22"/>
          <w:szCs w:val="22"/>
        </w:rPr>
        <w:t>.</w:t>
      </w:r>
    </w:p>
    <w:p w14:paraId="0935A80B" w14:textId="77777777" w:rsidR="00DB4755" w:rsidRPr="00E23EF3" w:rsidRDefault="00DB4755" w:rsidP="00E23EF3">
      <w:pPr>
        <w:tabs>
          <w:tab w:val="left" w:pos="1276"/>
        </w:tabs>
        <w:spacing w:before="120" w:after="120"/>
        <w:ind w:left="2268"/>
        <w:jc w:val="both"/>
        <w:rPr>
          <w:i/>
          <w:iCs/>
          <w:sz w:val="22"/>
          <w:szCs w:val="22"/>
        </w:rPr>
      </w:pPr>
    </w:p>
    <w:p w14:paraId="18FD88A3" w14:textId="02EB2978" w:rsidR="004C43DB" w:rsidRPr="00E403B7" w:rsidRDefault="00240315" w:rsidP="004C43DB">
      <w:pPr>
        <w:tabs>
          <w:tab w:val="left" w:pos="1276"/>
        </w:tabs>
        <w:spacing w:before="120" w:after="120" w:line="360" w:lineRule="auto"/>
        <w:ind w:firstLine="1276"/>
        <w:jc w:val="both"/>
        <w:rPr>
          <w:sz w:val="24"/>
          <w:szCs w:val="24"/>
        </w:rPr>
      </w:pPr>
      <w:r>
        <w:rPr>
          <w:sz w:val="24"/>
          <w:szCs w:val="24"/>
        </w:rPr>
        <w:t xml:space="preserve">No tocante </w:t>
      </w:r>
      <w:r w:rsidR="00743437">
        <w:rPr>
          <w:sz w:val="24"/>
          <w:szCs w:val="24"/>
        </w:rPr>
        <w:t>aos critérios jurídicos que informam esta classificação</w:t>
      </w:r>
      <w:r w:rsidR="00D1099D">
        <w:rPr>
          <w:sz w:val="24"/>
          <w:szCs w:val="24"/>
        </w:rPr>
        <w:t xml:space="preserve">, entendo que </w:t>
      </w:r>
      <w:r w:rsidR="009D0659">
        <w:rPr>
          <w:sz w:val="24"/>
          <w:szCs w:val="24"/>
        </w:rPr>
        <w:t>ele</w:t>
      </w:r>
      <w:r w:rsidR="00D1099D">
        <w:rPr>
          <w:sz w:val="24"/>
          <w:szCs w:val="24"/>
        </w:rPr>
        <w:t xml:space="preserve"> está presente na destinação do tributo, que seria </w:t>
      </w:r>
      <w:r w:rsidR="004C4B36">
        <w:rPr>
          <w:sz w:val="24"/>
          <w:szCs w:val="24"/>
        </w:rPr>
        <w:t xml:space="preserve">a justificativa para a existência </w:t>
      </w:r>
      <w:r w:rsidR="003B60BE">
        <w:rPr>
          <w:sz w:val="24"/>
          <w:szCs w:val="24"/>
        </w:rPr>
        <w:lastRenderedPageBreak/>
        <w:t>dele</w:t>
      </w:r>
      <w:r w:rsidR="004C4B36">
        <w:rPr>
          <w:sz w:val="24"/>
          <w:szCs w:val="24"/>
        </w:rPr>
        <w:t>. Ainda entendo que o artigo 4º do CTN</w:t>
      </w:r>
      <w:r w:rsidR="00ED09A3">
        <w:rPr>
          <w:sz w:val="24"/>
          <w:szCs w:val="24"/>
        </w:rPr>
        <w:t>, em seu inciso II, foi revogado pela CF, sendo impossível tratar de contribuição sem a devida destinação</w:t>
      </w:r>
      <w:r w:rsidR="00CD2EF0">
        <w:rPr>
          <w:sz w:val="24"/>
          <w:szCs w:val="24"/>
        </w:rPr>
        <w:t>. Se assim, o fosse a mesma teria elementos de classificação de imposto</w:t>
      </w:r>
      <w:r w:rsidR="00602C56">
        <w:rPr>
          <w:sz w:val="24"/>
          <w:szCs w:val="24"/>
        </w:rPr>
        <w:t xml:space="preserve">, e como a CF </w:t>
      </w:r>
      <w:r w:rsidR="009D0659">
        <w:rPr>
          <w:sz w:val="24"/>
          <w:szCs w:val="24"/>
        </w:rPr>
        <w:t>exauriu as</w:t>
      </w:r>
      <w:r w:rsidR="00602C56">
        <w:rPr>
          <w:sz w:val="24"/>
          <w:szCs w:val="24"/>
        </w:rPr>
        <w:t xml:space="preserve"> classificações de impostos</w:t>
      </w:r>
      <w:r w:rsidR="00696239">
        <w:rPr>
          <w:sz w:val="24"/>
          <w:szCs w:val="24"/>
        </w:rPr>
        <w:t>, apesar de permitir os residuais, tal classificação é ilógica.</w:t>
      </w:r>
    </w:p>
    <w:p w14:paraId="5E4B8508" w14:textId="77777777" w:rsidR="0098308D" w:rsidRPr="000935E7" w:rsidRDefault="0098308D" w:rsidP="00DA0CA1">
      <w:pPr>
        <w:pStyle w:val="PargrafodaLista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b/>
          <w:bCs/>
        </w:rPr>
      </w:pPr>
    </w:p>
    <w:p w14:paraId="582CDF0E" w14:textId="77777777" w:rsidR="00A53121" w:rsidRPr="000935E7" w:rsidRDefault="00A53121" w:rsidP="00375742">
      <w:pPr>
        <w:numPr>
          <w:ilvl w:val="0"/>
          <w:numId w:val="11"/>
        </w:numPr>
        <w:tabs>
          <w:tab w:val="clear" w:pos="360"/>
          <w:tab w:val="num" w:pos="426"/>
        </w:tabs>
        <w:spacing w:before="120"/>
        <w:ind w:left="425" w:hanging="425"/>
        <w:jc w:val="both"/>
        <w:rPr>
          <w:b/>
          <w:bCs/>
          <w:sz w:val="24"/>
          <w:szCs w:val="24"/>
        </w:rPr>
      </w:pPr>
      <w:r w:rsidRPr="000935E7">
        <w:rPr>
          <w:b/>
          <w:bCs/>
          <w:sz w:val="24"/>
          <w:szCs w:val="24"/>
        </w:rPr>
        <w:t>Sobre as contribuições previstas no art. 149 da Constituição, pergunta-se:</w:t>
      </w:r>
    </w:p>
    <w:p w14:paraId="1847D13F" w14:textId="26D62D6D" w:rsidR="001D2A54" w:rsidRPr="00D148BC" w:rsidRDefault="00A53121" w:rsidP="00D148BC">
      <w:pPr>
        <w:pStyle w:val="Recuodecorpodetexto2"/>
        <w:numPr>
          <w:ilvl w:val="0"/>
          <w:numId w:val="13"/>
        </w:numPr>
        <w:tabs>
          <w:tab w:val="clear" w:pos="720"/>
        </w:tabs>
        <w:spacing w:before="120" w:after="0" w:line="240" w:lineRule="auto"/>
        <w:ind w:left="1276" w:hanging="425"/>
        <w:jc w:val="both"/>
        <w:rPr>
          <w:b/>
          <w:bCs/>
          <w:sz w:val="24"/>
          <w:szCs w:val="24"/>
        </w:rPr>
      </w:pPr>
      <w:r w:rsidRPr="000935E7">
        <w:rPr>
          <w:b/>
          <w:bCs/>
          <w:sz w:val="24"/>
          <w:szCs w:val="24"/>
        </w:rPr>
        <w:t xml:space="preserve">Quais os limites a serem observados no momento da fixação da hipótese de incidência destas contribuições? Considerar o julgamento no </w:t>
      </w:r>
      <w:hyperlink r:id="rId11" w:history="1">
        <w:r w:rsidRPr="000935E7">
          <w:rPr>
            <w:rStyle w:val="Hyperlink"/>
            <w:b/>
            <w:bCs/>
            <w:sz w:val="24"/>
            <w:szCs w:val="24"/>
          </w:rPr>
          <w:t>RE 630.898/RS</w:t>
        </w:r>
      </w:hyperlink>
      <w:r w:rsidRPr="000935E7">
        <w:rPr>
          <w:b/>
          <w:bCs/>
          <w:sz w:val="24"/>
          <w:szCs w:val="24"/>
        </w:rPr>
        <w:t>.</w:t>
      </w:r>
    </w:p>
    <w:p w14:paraId="5DBB678D" w14:textId="33CA0D49" w:rsidR="004C43DB" w:rsidRPr="004C43DB" w:rsidRDefault="004C43DB" w:rsidP="004C43DB">
      <w:pPr>
        <w:tabs>
          <w:tab w:val="left" w:pos="1276"/>
        </w:tabs>
        <w:spacing w:before="120" w:after="120" w:line="360" w:lineRule="auto"/>
        <w:ind w:firstLine="1276"/>
        <w:jc w:val="both"/>
        <w:rPr>
          <w:sz w:val="24"/>
          <w:szCs w:val="24"/>
        </w:rPr>
      </w:pPr>
      <w:r w:rsidRPr="004C43DB">
        <w:rPr>
          <w:sz w:val="24"/>
          <w:szCs w:val="24"/>
        </w:rPr>
        <w:t>O artigo 149 da Constituição Federal prevê as contribuições de intervenção no domínio econômico e as contribuições para o custeio de iluminação pública. No que diz respeito aos limites a serem observados no momento da fixação da hipótese de incidência dessas contribuições, o Supremo Tribunal Federal (STF) estabeleceu importantes diretrizes no julgamento do Recurso Extraordinário (RE) 630.898/RS.</w:t>
      </w:r>
    </w:p>
    <w:p w14:paraId="4E3A0116" w14:textId="6EDB027C" w:rsidR="004C43DB" w:rsidRPr="004C43DB" w:rsidRDefault="004C43DB" w:rsidP="004C43DB">
      <w:pPr>
        <w:tabs>
          <w:tab w:val="left" w:pos="1276"/>
        </w:tabs>
        <w:spacing w:before="120" w:after="120" w:line="360" w:lineRule="auto"/>
        <w:ind w:firstLine="1276"/>
        <w:jc w:val="both"/>
        <w:rPr>
          <w:sz w:val="24"/>
          <w:szCs w:val="24"/>
        </w:rPr>
      </w:pPr>
      <w:r w:rsidRPr="004C43DB">
        <w:rPr>
          <w:sz w:val="24"/>
          <w:szCs w:val="24"/>
        </w:rPr>
        <w:t>Nesse julgamento, o STF firmou a seguinte tese sobre os limites à fixação da hipótese de incidência das contribuições previstas no artigo 149 da Constituição:</w:t>
      </w:r>
    </w:p>
    <w:p w14:paraId="54BE60CE" w14:textId="18F0DFF0" w:rsidR="004C43DB" w:rsidRPr="00AD5D76" w:rsidRDefault="004C43DB" w:rsidP="00ED411A">
      <w:pPr>
        <w:tabs>
          <w:tab w:val="left" w:pos="1276"/>
        </w:tabs>
        <w:ind w:left="2268"/>
        <w:jc w:val="both"/>
        <w:rPr>
          <w:i/>
          <w:iCs/>
          <w:sz w:val="22"/>
          <w:szCs w:val="22"/>
        </w:rPr>
      </w:pPr>
      <w:r w:rsidRPr="00AD5D76">
        <w:rPr>
          <w:i/>
          <w:iCs/>
          <w:sz w:val="22"/>
          <w:szCs w:val="22"/>
        </w:rPr>
        <w:t>"</w:t>
      </w:r>
      <w:r w:rsidRPr="00AD5D76">
        <w:rPr>
          <w:b/>
          <w:bCs/>
          <w:i/>
          <w:iCs/>
          <w:sz w:val="22"/>
          <w:szCs w:val="22"/>
          <w:u w:val="thick"/>
        </w:rPr>
        <w:t>É inconstitucional a instituição, mediante lei ordinária</w:t>
      </w:r>
      <w:r w:rsidRPr="00AD5D76">
        <w:rPr>
          <w:i/>
          <w:iCs/>
          <w:sz w:val="22"/>
          <w:szCs w:val="22"/>
        </w:rPr>
        <w:t>, de contribuição de intervenção no domínio econômico destinada a financiar o serviço de iluminação pública."</w:t>
      </w:r>
    </w:p>
    <w:p w14:paraId="7F79086F" w14:textId="77777777" w:rsidR="00ED411A" w:rsidRPr="00AD5D76" w:rsidRDefault="00ED411A" w:rsidP="00ED411A">
      <w:pPr>
        <w:tabs>
          <w:tab w:val="left" w:pos="1276"/>
        </w:tabs>
        <w:ind w:left="2268"/>
        <w:jc w:val="both"/>
        <w:rPr>
          <w:i/>
          <w:iCs/>
          <w:sz w:val="22"/>
          <w:szCs w:val="22"/>
        </w:rPr>
      </w:pPr>
    </w:p>
    <w:p w14:paraId="30A314A3" w14:textId="629F6437" w:rsidR="004C43DB" w:rsidRPr="004C43DB" w:rsidRDefault="004C43DB" w:rsidP="00057384">
      <w:pPr>
        <w:tabs>
          <w:tab w:val="left" w:pos="1276"/>
        </w:tabs>
        <w:spacing w:before="120" w:after="120" w:line="360" w:lineRule="auto"/>
        <w:ind w:firstLine="1276"/>
        <w:jc w:val="both"/>
        <w:rPr>
          <w:sz w:val="24"/>
          <w:szCs w:val="24"/>
        </w:rPr>
      </w:pPr>
      <w:r w:rsidRPr="004C43DB">
        <w:rPr>
          <w:sz w:val="24"/>
          <w:szCs w:val="24"/>
        </w:rPr>
        <w:t xml:space="preserve">Essa tese estabelece que a instituição de </w:t>
      </w:r>
      <w:r w:rsidR="00AB1B4B">
        <w:rPr>
          <w:sz w:val="24"/>
          <w:szCs w:val="24"/>
        </w:rPr>
        <w:t>C</w:t>
      </w:r>
      <w:r w:rsidRPr="004C43DB">
        <w:rPr>
          <w:sz w:val="24"/>
          <w:szCs w:val="24"/>
        </w:rPr>
        <w:t xml:space="preserve">ontribuições de </w:t>
      </w:r>
      <w:r w:rsidR="00AB1B4B">
        <w:rPr>
          <w:sz w:val="24"/>
          <w:szCs w:val="24"/>
        </w:rPr>
        <w:t>I</w:t>
      </w:r>
      <w:r w:rsidRPr="004C43DB">
        <w:rPr>
          <w:sz w:val="24"/>
          <w:szCs w:val="24"/>
        </w:rPr>
        <w:t xml:space="preserve">ntervenção no </w:t>
      </w:r>
      <w:r w:rsidR="00AB1B4B">
        <w:rPr>
          <w:sz w:val="24"/>
          <w:szCs w:val="24"/>
        </w:rPr>
        <w:t>D</w:t>
      </w:r>
      <w:r w:rsidRPr="004C43DB">
        <w:rPr>
          <w:sz w:val="24"/>
          <w:szCs w:val="24"/>
        </w:rPr>
        <w:t xml:space="preserve">omínio </w:t>
      </w:r>
      <w:r w:rsidR="00AB1B4B">
        <w:rPr>
          <w:sz w:val="24"/>
          <w:szCs w:val="24"/>
        </w:rPr>
        <w:t>E</w:t>
      </w:r>
      <w:r w:rsidRPr="004C43DB">
        <w:rPr>
          <w:sz w:val="24"/>
          <w:szCs w:val="24"/>
        </w:rPr>
        <w:t>conômico destinadas ao financiamento do serviço de iluminação pública deve observar o princípio da legalidade estrita, ou seja, somente pode ser realizada por meio de lei complementar e não por meio de lei ordinária.</w:t>
      </w:r>
    </w:p>
    <w:p w14:paraId="5AFF0345" w14:textId="5D03763F" w:rsidR="004A2C18" w:rsidRPr="009A40BC" w:rsidRDefault="004C43DB" w:rsidP="004A2C18">
      <w:pPr>
        <w:tabs>
          <w:tab w:val="left" w:pos="1276"/>
        </w:tabs>
        <w:spacing w:before="120" w:after="120" w:line="360" w:lineRule="auto"/>
        <w:ind w:firstLine="1276"/>
        <w:jc w:val="both"/>
        <w:rPr>
          <w:sz w:val="24"/>
          <w:szCs w:val="24"/>
        </w:rPr>
      </w:pPr>
      <w:r w:rsidRPr="004C43DB">
        <w:rPr>
          <w:sz w:val="24"/>
          <w:szCs w:val="24"/>
        </w:rPr>
        <w:t>Portanto, no momento da fixação da hipótese de incidência das contribuições previstas no artigo 149 da Constituição, especialmente as destinadas ao financiamento do serviço de iluminação pública, é essencial observar os limites impostos pela Constituição Federal, incluindo a exigência de que a instituição dessas contribuições seja realizada por meio de lei complementar, em conformidade com a decisão do STF no RE 630.898/RS.</w:t>
      </w:r>
    </w:p>
    <w:p w14:paraId="3FE76C09" w14:textId="48EC4636" w:rsidR="004A2C18" w:rsidRPr="00801292" w:rsidRDefault="00A53121" w:rsidP="00801292">
      <w:pPr>
        <w:pStyle w:val="Recuodecorpodetexto2"/>
        <w:numPr>
          <w:ilvl w:val="0"/>
          <w:numId w:val="13"/>
        </w:numPr>
        <w:tabs>
          <w:tab w:val="clear" w:pos="720"/>
        </w:tabs>
        <w:spacing w:before="120" w:after="0" w:line="240" w:lineRule="auto"/>
        <w:ind w:left="1276" w:hanging="425"/>
        <w:jc w:val="both"/>
        <w:rPr>
          <w:b/>
          <w:bCs/>
          <w:sz w:val="24"/>
          <w:szCs w:val="24"/>
        </w:rPr>
      </w:pPr>
      <w:r w:rsidRPr="000935E7">
        <w:rPr>
          <w:b/>
          <w:bCs/>
          <w:sz w:val="24"/>
          <w:szCs w:val="24"/>
        </w:rPr>
        <w:lastRenderedPageBreak/>
        <w:t xml:space="preserve">A União pode utilizar-se de uma das materialidades que lhe foram atribuídas constitucionalmente para a instituição de impostos ou abranger fatos que, por ocasião da repartição constitucional das competências para instituição de impostos, foram atribuídos aos Estados, Distrito Federal e Municípios? Examinar o </w:t>
      </w:r>
      <w:hyperlink r:id="rId12" w:history="1">
        <w:r w:rsidRPr="000935E7">
          <w:rPr>
            <w:rStyle w:val="Hyperlink"/>
            <w:b/>
            <w:bCs/>
            <w:sz w:val="24"/>
            <w:szCs w:val="24"/>
          </w:rPr>
          <w:t>RE 396.266</w:t>
        </w:r>
      </w:hyperlink>
      <w:r w:rsidRPr="000935E7">
        <w:rPr>
          <w:b/>
          <w:bCs/>
          <w:sz w:val="24"/>
          <w:szCs w:val="24"/>
        </w:rPr>
        <w:t>.</w:t>
      </w:r>
    </w:p>
    <w:p w14:paraId="37AD0974" w14:textId="77777777" w:rsidR="004A2C18" w:rsidRDefault="004A2C18" w:rsidP="004A2C18">
      <w:pPr>
        <w:tabs>
          <w:tab w:val="left" w:pos="1276"/>
        </w:tabs>
        <w:spacing w:before="120" w:after="120" w:line="360" w:lineRule="auto"/>
        <w:ind w:firstLine="851"/>
        <w:jc w:val="both"/>
        <w:rPr>
          <w:sz w:val="24"/>
          <w:szCs w:val="24"/>
        </w:rPr>
      </w:pPr>
      <w:r w:rsidRPr="004A2C18">
        <w:rPr>
          <w:sz w:val="24"/>
          <w:szCs w:val="24"/>
        </w:rPr>
        <w:t>No julgamento do Recurso Extraordinário (RE) 396.266, o Supremo Tribunal Federal (STF) estabeleceu que a União não pode utilizar-se de materialidades que lhe foram atribuídas constitucionalmente para instituir impostos, tampouco abranger fatos que, por ocasião da repartição constitucional das competências para instituição de impostos, foram atribuídos aos Estados, Distrito Federal e Municípios.</w:t>
      </w:r>
    </w:p>
    <w:p w14:paraId="5C8348FE" w14:textId="77777777" w:rsidR="00960D6A" w:rsidRDefault="004A2C18" w:rsidP="00960D6A">
      <w:pPr>
        <w:tabs>
          <w:tab w:val="left" w:pos="1276"/>
        </w:tabs>
        <w:spacing w:before="120" w:after="120" w:line="360" w:lineRule="auto"/>
        <w:ind w:firstLine="851"/>
        <w:jc w:val="both"/>
        <w:rPr>
          <w:sz w:val="24"/>
          <w:szCs w:val="24"/>
        </w:rPr>
      </w:pPr>
      <w:r w:rsidRPr="004A2C18">
        <w:rPr>
          <w:sz w:val="24"/>
          <w:szCs w:val="24"/>
        </w:rPr>
        <w:t>O RE 396.266 trata especificamente da questão da Contribuição Provisória sobre Movimentação ou Transmissão de Valores e de Créditos e Direitos de Natureza Financeira (CPMF), que foi instituída pela União. O Supremo Tribunal Federal decidiu que a CPMF, por ser uma contribuição, não poderia abranger fatos que, segundo a Constituição Federal, são de competência dos Estados, Distrito Federal e Municípios para a instituição de impostos.</w:t>
      </w:r>
    </w:p>
    <w:p w14:paraId="609A154D" w14:textId="01F6F14F" w:rsidR="004A2C18" w:rsidRDefault="004A2C18" w:rsidP="00A67E75">
      <w:pPr>
        <w:tabs>
          <w:tab w:val="left" w:pos="1276"/>
        </w:tabs>
        <w:spacing w:before="120" w:after="120" w:line="360" w:lineRule="auto"/>
        <w:ind w:firstLine="851"/>
        <w:jc w:val="both"/>
        <w:rPr>
          <w:sz w:val="24"/>
          <w:szCs w:val="24"/>
        </w:rPr>
      </w:pPr>
      <w:r w:rsidRPr="004A2C18">
        <w:rPr>
          <w:sz w:val="24"/>
          <w:szCs w:val="24"/>
        </w:rPr>
        <w:t xml:space="preserve">Essa decisão reforça o princípio da autonomia dos entes federativos em relação à instituição de impostos sobre determinados fatos. Portanto, </w:t>
      </w:r>
      <w:r w:rsidR="0045476A">
        <w:rPr>
          <w:sz w:val="24"/>
          <w:szCs w:val="24"/>
        </w:rPr>
        <w:t xml:space="preserve">pela decisão </w:t>
      </w:r>
      <w:r w:rsidR="00BF06A3">
        <w:rPr>
          <w:sz w:val="24"/>
          <w:szCs w:val="24"/>
        </w:rPr>
        <w:t xml:space="preserve">a </w:t>
      </w:r>
      <w:r w:rsidR="00BF06A3" w:rsidRPr="004A2C18">
        <w:rPr>
          <w:sz w:val="24"/>
          <w:szCs w:val="24"/>
        </w:rPr>
        <w:t>União</w:t>
      </w:r>
      <w:r w:rsidRPr="004A2C18">
        <w:rPr>
          <w:sz w:val="24"/>
          <w:szCs w:val="24"/>
        </w:rPr>
        <w:t xml:space="preserve"> não pode</w:t>
      </w:r>
      <w:r w:rsidR="00BF06A3">
        <w:rPr>
          <w:sz w:val="24"/>
          <w:szCs w:val="24"/>
        </w:rPr>
        <w:t xml:space="preserve">ria </w:t>
      </w:r>
      <w:r w:rsidRPr="004A2C18">
        <w:rPr>
          <w:sz w:val="24"/>
          <w:szCs w:val="24"/>
        </w:rPr>
        <w:t>utilizar-se de uma das materialidades que lhe foram atribuídas constitucionalmente para a instituição de impostos, nem abranger fatos que são de competência dos Estados, Distrito Federal e Municípios para a instituição de impostos, quando instituir contribuições.</w:t>
      </w:r>
    </w:p>
    <w:p w14:paraId="4919645A" w14:textId="04BE146C" w:rsidR="00E955F4" w:rsidRPr="00E955F4" w:rsidRDefault="00A53121" w:rsidP="00E955F4">
      <w:pPr>
        <w:pStyle w:val="Recuodecorpodetexto2"/>
        <w:numPr>
          <w:ilvl w:val="0"/>
          <w:numId w:val="13"/>
        </w:numPr>
        <w:tabs>
          <w:tab w:val="clear" w:pos="720"/>
        </w:tabs>
        <w:spacing w:before="120" w:after="0" w:line="240" w:lineRule="auto"/>
        <w:ind w:left="1276" w:hanging="425"/>
        <w:jc w:val="both"/>
        <w:rPr>
          <w:b/>
          <w:bCs/>
          <w:sz w:val="24"/>
          <w:szCs w:val="24"/>
        </w:rPr>
      </w:pPr>
      <w:r w:rsidRPr="000935E7">
        <w:rPr>
          <w:b/>
          <w:bCs/>
          <w:sz w:val="24"/>
          <w:szCs w:val="24"/>
        </w:rPr>
        <w:t>Precisam observar o princípio da capacidade contributiva?</w:t>
      </w:r>
    </w:p>
    <w:p w14:paraId="7A9FDDFD" w14:textId="40C26C55" w:rsidR="00E955F4" w:rsidRPr="00E955F4" w:rsidRDefault="00E955F4" w:rsidP="00BF5C10">
      <w:pPr>
        <w:tabs>
          <w:tab w:val="left" w:pos="1276"/>
        </w:tabs>
        <w:spacing w:before="120" w:after="120" w:line="360" w:lineRule="auto"/>
        <w:ind w:firstLine="851"/>
        <w:jc w:val="both"/>
        <w:rPr>
          <w:sz w:val="24"/>
          <w:szCs w:val="24"/>
        </w:rPr>
      </w:pPr>
      <w:r w:rsidRPr="00E955F4">
        <w:rPr>
          <w:sz w:val="24"/>
          <w:szCs w:val="24"/>
        </w:rPr>
        <w:t>Sim, as contribuições previstas no artigo 149 da Constituição Federal precisam observar o</w:t>
      </w:r>
      <w:r w:rsidR="00BF5C10">
        <w:rPr>
          <w:sz w:val="24"/>
          <w:szCs w:val="24"/>
        </w:rPr>
        <w:t xml:space="preserve"> P</w:t>
      </w:r>
      <w:r w:rsidRPr="00E955F4">
        <w:rPr>
          <w:sz w:val="24"/>
          <w:szCs w:val="24"/>
        </w:rPr>
        <w:t xml:space="preserve">rincípio da </w:t>
      </w:r>
      <w:r w:rsidR="00BF5C10">
        <w:rPr>
          <w:sz w:val="24"/>
          <w:szCs w:val="24"/>
        </w:rPr>
        <w:t>C</w:t>
      </w:r>
      <w:r w:rsidRPr="00E955F4">
        <w:rPr>
          <w:sz w:val="24"/>
          <w:szCs w:val="24"/>
        </w:rPr>
        <w:t xml:space="preserve">apacidade </w:t>
      </w:r>
      <w:r w:rsidR="00BF5C10">
        <w:rPr>
          <w:sz w:val="24"/>
          <w:szCs w:val="24"/>
        </w:rPr>
        <w:t>C</w:t>
      </w:r>
      <w:r w:rsidRPr="00E955F4">
        <w:rPr>
          <w:sz w:val="24"/>
          <w:szCs w:val="24"/>
        </w:rPr>
        <w:t>ontributiva. Este princípio estabelece que a tributação deve ser realizada de acordo com a capacidade econômica do contribuinte, ou seja, aqueles que possuem maior capacidade financeira devem contribuir em maior medida para o financiamento das despesas públicas.</w:t>
      </w:r>
    </w:p>
    <w:p w14:paraId="39700E83" w14:textId="06A82B95" w:rsidR="00E955F4" w:rsidRPr="00E955F4" w:rsidRDefault="00E955F4" w:rsidP="004C1B38">
      <w:pPr>
        <w:tabs>
          <w:tab w:val="left" w:pos="1276"/>
        </w:tabs>
        <w:spacing w:before="120" w:after="120" w:line="360" w:lineRule="auto"/>
        <w:ind w:firstLine="851"/>
        <w:jc w:val="both"/>
        <w:rPr>
          <w:sz w:val="24"/>
          <w:szCs w:val="24"/>
        </w:rPr>
      </w:pPr>
      <w:r w:rsidRPr="00E955F4">
        <w:rPr>
          <w:sz w:val="24"/>
          <w:szCs w:val="24"/>
        </w:rPr>
        <w:t xml:space="preserve">Embora as contribuições previstas no artigo </w:t>
      </w:r>
      <w:r w:rsidR="00BF5C10">
        <w:rPr>
          <w:sz w:val="24"/>
          <w:szCs w:val="24"/>
        </w:rPr>
        <w:t xml:space="preserve">supracitado </w:t>
      </w:r>
      <w:r w:rsidRPr="00E955F4">
        <w:rPr>
          <w:sz w:val="24"/>
          <w:szCs w:val="24"/>
        </w:rPr>
        <w:t xml:space="preserve">tenham finalidades específicas, como </w:t>
      </w:r>
      <w:r w:rsidR="004C1B38">
        <w:rPr>
          <w:sz w:val="24"/>
          <w:szCs w:val="24"/>
        </w:rPr>
        <w:t xml:space="preserve">por exemplo </w:t>
      </w:r>
      <w:r w:rsidRPr="00E955F4">
        <w:rPr>
          <w:sz w:val="24"/>
          <w:szCs w:val="24"/>
        </w:rPr>
        <w:t xml:space="preserve">intervenção no domínio econômico, elas ainda devem </w:t>
      </w:r>
      <w:r w:rsidRPr="00E955F4">
        <w:rPr>
          <w:sz w:val="24"/>
          <w:szCs w:val="24"/>
        </w:rPr>
        <w:lastRenderedPageBreak/>
        <w:t>respeitar os princípios gerais do sistema tributário, entre os quais se destaca o princípio da capacidade contributiva.</w:t>
      </w:r>
    </w:p>
    <w:p w14:paraId="6257F8FF" w14:textId="72639666" w:rsidR="0070573B" w:rsidRPr="005C03E6" w:rsidRDefault="00E955F4" w:rsidP="005C03E6">
      <w:pPr>
        <w:tabs>
          <w:tab w:val="left" w:pos="1276"/>
        </w:tabs>
        <w:spacing w:before="120" w:after="120" w:line="360" w:lineRule="auto"/>
        <w:ind w:firstLine="851"/>
        <w:jc w:val="both"/>
        <w:rPr>
          <w:sz w:val="24"/>
          <w:szCs w:val="24"/>
        </w:rPr>
      </w:pPr>
      <w:r w:rsidRPr="00E955F4">
        <w:rPr>
          <w:sz w:val="24"/>
          <w:szCs w:val="24"/>
        </w:rPr>
        <w:t>Portanto, ao instituir ou cobrar contribuições nos termos do artigo 149</w:t>
      </w:r>
      <w:r w:rsidR="005C03E6">
        <w:rPr>
          <w:sz w:val="24"/>
          <w:szCs w:val="24"/>
        </w:rPr>
        <w:t xml:space="preserve"> </w:t>
      </w:r>
      <w:r w:rsidR="005C03E6" w:rsidRPr="00E955F4">
        <w:rPr>
          <w:sz w:val="24"/>
          <w:szCs w:val="24"/>
        </w:rPr>
        <w:t>da Constituição Federal</w:t>
      </w:r>
      <w:r w:rsidRPr="00E955F4">
        <w:rPr>
          <w:sz w:val="24"/>
          <w:szCs w:val="24"/>
        </w:rPr>
        <w:t>, o Estado deve considerar a capacidade financeira dos contribuintes, evitando excessos ou injustiças tributárias e promovendo uma tributação mais justa e equilibrada.</w:t>
      </w:r>
    </w:p>
    <w:p w14:paraId="2D983D17" w14:textId="28832C49" w:rsidR="006C3AA6" w:rsidRPr="001800FA" w:rsidRDefault="00A53121" w:rsidP="001800FA">
      <w:pPr>
        <w:pStyle w:val="Recuodecorpodetexto2"/>
        <w:numPr>
          <w:ilvl w:val="0"/>
          <w:numId w:val="13"/>
        </w:numPr>
        <w:tabs>
          <w:tab w:val="clear" w:pos="720"/>
        </w:tabs>
        <w:spacing w:before="120" w:after="0" w:line="240" w:lineRule="auto"/>
        <w:ind w:left="1276" w:hanging="425"/>
        <w:jc w:val="both"/>
        <w:rPr>
          <w:b/>
          <w:bCs/>
          <w:sz w:val="24"/>
          <w:szCs w:val="24"/>
        </w:rPr>
      </w:pPr>
      <w:r w:rsidRPr="000935E7">
        <w:rPr>
          <w:b/>
          <w:bCs/>
          <w:sz w:val="24"/>
          <w:szCs w:val="24"/>
        </w:rPr>
        <w:t xml:space="preserve">Há necessidade de serem instituídas ou previamente delimitadas por lei complementar? Vide </w:t>
      </w:r>
      <w:hyperlink r:id="rId13" w:history="1">
        <w:r w:rsidRPr="000935E7">
          <w:rPr>
            <w:rStyle w:val="Hyperlink"/>
            <w:b/>
            <w:bCs/>
            <w:sz w:val="24"/>
            <w:szCs w:val="24"/>
          </w:rPr>
          <w:t>AI 518082 ED</w:t>
        </w:r>
      </w:hyperlink>
      <w:r w:rsidRPr="000935E7">
        <w:rPr>
          <w:b/>
          <w:bCs/>
          <w:sz w:val="24"/>
          <w:szCs w:val="24"/>
        </w:rPr>
        <w:t xml:space="preserve"> e </w:t>
      </w:r>
      <w:hyperlink r:id="rId14" w:history="1">
        <w:r w:rsidRPr="000935E7">
          <w:rPr>
            <w:rStyle w:val="Hyperlink"/>
            <w:b/>
            <w:bCs/>
            <w:sz w:val="24"/>
            <w:szCs w:val="24"/>
          </w:rPr>
          <w:t xml:space="preserve">AI 739715 </w:t>
        </w:r>
        <w:proofErr w:type="spellStart"/>
        <w:r w:rsidRPr="000935E7">
          <w:rPr>
            <w:rStyle w:val="Hyperlink"/>
            <w:b/>
            <w:bCs/>
            <w:sz w:val="24"/>
            <w:szCs w:val="24"/>
          </w:rPr>
          <w:t>AgR</w:t>
        </w:r>
      </w:hyperlink>
      <w:r w:rsidRPr="000935E7">
        <w:rPr>
          <w:b/>
          <w:bCs/>
          <w:sz w:val="24"/>
          <w:szCs w:val="24"/>
        </w:rPr>
        <w:t>.</w:t>
      </w:r>
      <w:proofErr w:type="spellEnd"/>
    </w:p>
    <w:p w14:paraId="41F8419B" w14:textId="718DADC7" w:rsidR="001800FA" w:rsidRPr="001800FA" w:rsidRDefault="001800FA" w:rsidP="00382502">
      <w:pPr>
        <w:tabs>
          <w:tab w:val="left" w:pos="1276"/>
        </w:tabs>
        <w:spacing w:before="120" w:after="120" w:line="360" w:lineRule="auto"/>
        <w:ind w:firstLine="851"/>
        <w:jc w:val="both"/>
        <w:rPr>
          <w:sz w:val="24"/>
          <w:szCs w:val="24"/>
        </w:rPr>
      </w:pPr>
      <w:r w:rsidRPr="001800FA">
        <w:rPr>
          <w:sz w:val="24"/>
          <w:szCs w:val="24"/>
        </w:rPr>
        <w:t>Sim, há a necessidade de que as contribuições previstas no artigo 149 da Constituição Federal</w:t>
      </w:r>
      <w:r w:rsidR="0072041D">
        <w:rPr>
          <w:sz w:val="24"/>
          <w:szCs w:val="24"/>
        </w:rPr>
        <w:t xml:space="preserve"> </w:t>
      </w:r>
      <w:r w:rsidRPr="001800FA">
        <w:rPr>
          <w:sz w:val="24"/>
          <w:szCs w:val="24"/>
        </w:rPr>
        <w:t>sejam instituídas ou previamente delimitadas por meio de lei complementar. Esse entendimento foi consolidado pelo Supremo Tribunal Federal (STF) em diversos julgamentos, incluindo os Acórdãos nos Agravo Interno (AI) 518082 ED e Agravo Regimental (</w:t>
      </w:r>
      <w:proofErr w:type="spellStart"/>
      <w:r w:rsidRPr="001800FA">
        <w:rPr>
          <w:sz w:val="24"/>
          <w:szCs w:val="24"/>
        </w:rPr>
        <w:t>AgR</w:t>
      </w:r>
      <w:proofErr w:type="spellEnd"/>
      <w:r w:rsidRPr="001800FA">
        <w:rPr>
          <w:sz w:val="24"/>
          <w:szCs w:val="24"/>
        </w:rPr>
        <w:t>) 739715.</w:t>
      </w:r>
    </w:p>
    <w:p w14:paraId="61E8F4B0" w14:textId="752A91B1" w:rsidR="001800FA" w:rsidRPr="001800FA" w:rsidRDefault="001800FA" w:rsidP="00382502">
      <w:pPr>
        <w:tabs>
          <w:tab w:val="left" w:pos="1276"/>
        </w:tabs>
        <w:spacing w:before="120" w:after="120" w:line="360" w:lineRule="auto"/>
        <w:ind w:firstLine="851"/>
        <w:jc w:val="both"/>
        <w:rPr>
          <w:sz w:val="24"/>
          <w:szCs w:val="24"/>
        </w:rPr>
      </w:pPr>
      <w:r w:rsidRPr="001800FA">
        <w:rPr>
          <w:sz w:val="24"/>
          <w:szCs w:val="24"/>
        </w:rPr>
        <w:t>O STF firmou o entendimento de que a instituição de contribuições previstas no artigo 149 da Constituição deve ser feita por meio de lei complementar, em conformidade com o disposto no artigo 146, III, "a", da Constituição. Esse dispositivo estabelece que compete à lei complementar regular as limitações constitucionais ao poder de tributar.</w:t>
      </w:r>
    </w:p>
    <w:p w14:paraId="211066C4" w14:textId="77777777" w:rsidR="00E40F07" w:rsidRPr="00E40F07" w:rsidRDefault="001800FA" w:rsidP="00E40F07">
      <w:pPr>
        <w:tabs>
          <w:tab w:val="left" w:pos="1276"/>
        </w:tabs>
        <w:spacing w:before="120" w:after="120" w:line="360" w:lineRule="auto"/>
        <w:ind w:firstLine="851"/>
        <w:jc w:val="both"/>
        <w:rPr>
          <w:sz w:val="24"/>
          <w:szCs w:val="24"/>
        </w:rPr>
      </w:pPr>
      <w:r w:rsidRPr="001800FA">
        <w:rPr>
          <w:sz w:val="24"/>
          <w:szCs w:val="24"/>
        </w:rPr>
        <w:t xml:space="preserve">Portanto, a exigência de lei complementar para a instituição dessas contribuições visa garantir maior segurança jurídica, uniformidade e clareza na definição das regras e limitações para a criação desses tributos, evitando arbitrariedades e garantindo o respeito aos princípios </w:t>
      </w:r>
      <w:r w:rsidRPr="00E40F07">
        <w:rPr>
          <w:sz w:val="24"/>
          <w:szCs w:val="24"/>
        </w:rPr>
        <w:t>constitucionais tributários.</w:t>
      </w:r>
      <w:r w:rsidR="00E40F07">
        <w:rPr>
          <w:sz w:val="24"/>
          <w:szCs w:val="24"/>
        </w:rPr>
        <w:t xml:space="preserve">  </w:t>
      </w:r>
    </w:p>
    <w:p w14:paraId="553D5013" w14:textId="77777777" w:rsidR="00A53121" w:rsidRPr="007F0B71" w:rsidRDefault="00A53121" w:rsidP="00375742">
      <w:pPr>
        <w:numPr>
          <w:ilvl w:val="0"/>
          <w:numId w:val="11"/>
        </w:numPr>
        <w:tabs>
          <w:tab w:val="clear" w:pos="360"/>
          <w:tab w:val="num" w:pos="426"/>
        </w:tabs>
        <w:spacing w:before="120"/>
        <w:ind w:left="425" w:hanging="425"/>
        <w:jc w:val="both"/>
        <w:rPr>
          <w:b/>
          <w:bCs/>
          <w:sz w:val="24"/>
          <w:szCs w:val="24"/>
        </w:rPr>
      </w:pPr>
      <w:r w:rsidRPr="007F0B71">
        <w:rPr>
          <w:b/>
          <w:bCs/>
          <w:sz w:val="24"/>
          <w:szCs w:val="24"/>
        </w:rPr>
        <w:t>A respeito das contribuições de intervenção no domínio econômico, responder justificadamente:</w:t>
      </w:r>
    </w:p>
    <w:p w14:paraId="4C5C240F" w14:textId="077A4AF0" w:rsidR="00E40F07" w:rsidRPr="00E4255F" w:rsidRDefault="00A53121" w:rsidP="00E4255F">
      <w:pPr>
        <w:pStyle w:val="Recuodecorpodetexto2"/>
        <w:numPr>
          <w:ilvl w:val="0"/>
          <w:numId w:val="14"/>
        </w:numPr>
        <w:tabs>
          <w:tab w:val="clear" w:pos="720"/>
          <w:tab w:val="num" w:pos="1276"/>
        </w:tabs>
        <w:spacing w:before="120" w:after="0" w:line="240" w:lineRule="auto"/>
        <w:ind w:left="1276" w:hanging="425"/>
        <w:jc w:val="both"/>
        <w:rPr>
          <w:b/>
          <w:bCs/>
          <w:sz w:val="24"/>
          <w:szCs w:val="24"/>
        </w:rPr>
      </w:pPr>
      <w:r w:rsidRPr="007F0B71">
        <w:rPr>
          <w:b/>
          <w:bCs/>
          <w:sz w:val="24"/>
          <w:szCs w:val="24"/>
        </w:rPr>
        <w:t xml:space="preserve">Que se entende por intervenção no domínio econômico? As causas de intervenção estão restritas aos </w:t>
      </w:r>
      <w:proofErr w:type="spellStart"/>
      <w:r w:rsidRPr="007F0B71">
        <w:rPr>
          <w:b/>
          <w:bCs/>
          <w:sz w:val="24"/>
          <w:szCs w:val="24"/>
        </w:rPr>
        <w:t>arts</w:t>
      </w:r>
      <w:proofErr w:type="spellEnd"/>
      <w:r w:rsidRPr="007F0B71">
        <w:rPr>
          <w:b/>
          <w:bCs/>
          <w:sz w:val="24"/>
          <w:szCs w:val="24"/>
        </w:rPr>
        <w:t>. 170 a 181 da Constituição da República?</w:t>
      </w:r>
    </w:p>
    <w:p w14:paraId="15CF8BDA" w14:textId="6350ACB1" w:rsidR="00F10908" w:rsidRDefault="00834DC6" w:rsidP="00F10908">
      <w:pPr>
        <w:tabs>
          <w:tab w:val="left" w:pos="1276"/>
        </w:tabs>
        <w:spacing w:before="120" w:after="120" w:line="360" w:lineRule="auto"/>
        <w:ind w:firstLine="851"/>
        <w:jc w:val="both"/>
        <w:rPr>
          <w:sz w:val="24"/>
          <w:szCs w:val="24"/>
        </w:rPr>
      </w:pPr>
      <w:r>
        <w:rPr>
          <w:sz w:val="24"/>
          <w:szCs w:val="24"/>
        </w:rPr>
        <w:t>O § 4</w:t>
      </w:r>
      <w:r w:rsidR="00E4255F">
        <w:rPr>
          <w:sz w:val="24"/>
          <w:szCs w:val="24"/>
        </w:rPr>
        <w:t>º do art. 177 da Constituição Federal, na redação</w:t>
      </w:r>
      <w:r w:rsidR="00845392">
        <w:rPr>
          <w:sz w:val="24"/>
          <w:szCs w:val="24"/>
        </w:rPr>
        <w:t xml:space="preserve"> que lhe foi dada pela Emenda Constitucional nº 33, autoriza a União a instituir, por meio de lei complementar</w:t>
      </w:r>
      <w:r w:rsidR="004B5A9F">
        <w:rPr>
          <w:sz w:val="24"/>
          <w:szCs w:val="24"/>
        </w:rPr>
        <w:t>, Contribuição de Intervenção no Domínio Econômico</w:t>
      </w:r>
      <w:r w:rsidR="00DC71B8">
        <w:rPr>
          <w:sz w:val="24"/>
          <w:szCs w:val="24"/>
        </w:rPr>
        <w:t xml:space="preserve"> </w:t>
      </w:r>
      <w:r w:rsidR="002C6669">
        <w:rPr>
          <w:sz w:val="24"/>
          <w:szCs w:val="24"/>
        </w:rPr>
        <w:t>(</w:t>
      </w:r>
      <w:proofErr w:type="spellStart"/>
      <w:r w:rsidR="002C6669">
        <w:rPr>
          <w:sz w:val="24"/>
          <w:szCs w:val="24"/>
        </w:rPr>
        <w:t>CIDEs</w:t>
      </w:r>
      <w:proofErr w:type="spellEnd"/>
      <w:r w:rsidR="002C6669">
        <w:rPr>
          <w:sz w:val="24"/>
          <w:szCs w:val="24"/>
        </w:rPr>
        <w:t xml:space="preserve">) </w:t>
      </w:r>
      <w:r w:rsidR="00DC71B8">
        <w:rPr>
          <w:sz w:val="24"/>
          <w:szCs w:val="24"/>
        </w:rPr>
        <w:t>relativas às atividades de importação ou comercialização de petróleo</w:t>
      </w:r>
      <w:r w:rsidR="00390E18">
        <w:rPr>
          <w:sz w:val="24"/>
          <w:szCs w:val="24"/>
        </w:rPr>
        <w:t xml:space="preserve"> e seus derivados, gás natural e seus derivados </w:t>
      </w:r>
      <w:r w:rsidR="00390E18">
        <w:rPr>
          <w:sz w:val="24"/>
          <w:szCs w:val="24"/>
        </w:rPr>
        <w:lastRenderedPageBreak/>
        <w:t xml:space="preserve">e álcool combustível. </w:t>
      </w:r>
      <w:r w:rsidR="00703FBB">
        <w:rPr>
          <w:sz w:val="24"/>
          <w:szCs w:val="24"/>
        </w:rPr>
        <w:t>Est</w:t>
      </w:r>
      <w:r w:rsidR="00796FF9">
        <w:rPr>
          <w:sz w:val="24"/>
          <w:szCs w:val="24"/>
        </w:rPr>
        <w:t>a espécie de contribuição</w:t>
      </w:r>
      <w:r w:rsidR="009072D7">
        <w:rPr>
          <w:sz w:val="24"/>
          <w:szCs w:val="24"/>
        </w:rPr>
        <w:t xml:space="preserve"> especial</w:t>
      </w:r>
      <w:r w:rsidR="00703FBB">
        <w:rPr>
          <w:sz w:val="24"/>
          <w:szCs w:val="24"/>
        </w:rPr>
        <w:t xml:space="preserve"> possui um caráter eminentemente extrafiscal</w:t>
      </w:r>
      <w:r w:rsidR="00F107C7">
        <w:rPr>
          <w:sz w:val="24"/>
          <w:szCs w:val="24"/>
        </w:rPr>
        <w:t>, c</w:t>
      </w:r>
      <w:r w:rsidR="00F107C7" w:rsidRPr="00F107C7">
        <w:rPr>
          <w:sz w:val="24"/>
          <w:szCs w:val="24"/>
        </w:rPr>
        <w:t>aracterística que prima não pela arrecadação ou fiscalização, mas principalmente como ferramentas de planejamento</w:t>
      </w:r>
      <w:r w:rsidR="004F5D9C">
        <w:rPr>
          <w:sz w:val="24"/>
          <w:szCs w:val="24"/>
        </w:rPr>
        <w:t>.</w:t>
      </w:r>
    </w:p>
    <w:p w14:paraId="171F3C83" w14:textId="12C6B6D4" w:rsidR="00E40F07" w:rsidRDefault="00F10908" w:rsidP="005B6011">
      <w:pPr>
        <w:tabs>
          <w:tab w:val="left" w:pos="1276"/>
        </w:tabs>
        <w:spacing w:before="120" w:after="120" w:line="360" w:lineRule="auto"/>
        <w:ind w:firstLine="851"/>
        <w:jc w:val="both"/>
        <w:rPr>
          <w:sz w:val="24"/>
          <w:szCs w:val="24"/>
        </w:rPr>
      </w:pPr>
      <w:r>
        <w:rPr>
          <w:sz w:val="24"/>
          <w:szCs w:val="24"/>
        </w:rPr>
        <w:t>Diante deste escopo,</w:t>
      </w:r>
      <w:r w:rsidR="00796FF9">
        <w:rPr>
          <w:sz w:val="24"/>
          <w:szCs w:val="24"/>
        </w:rPr>
        <w:t xml:space="preserve"> a</w:t>
      </w:r>
      <w:r>
        <w:rPr>
          <w:sz w:val="24"/>
          <w:szCs w:val="24"/>
        </w:rPr>
        <w:t xml:space="preserve"> i</w:t>
      </w:r>
      <w:r w:rsidR="00E40F07" w:rsidRPr="00E40F07">
        <w:rPr>
          <w:sz w:val="24"/>
          <w:szCs w:val="24"/>
        </w:rPr>
        <w:t>ntervenção no domínio econômico refere-se às ações do Estado que têm por objetivo interferir na ordem econômica para corrigir distorções, promover o desenvolvimento econômico, garantir a justiça social e alcançar outros objetivos de interesse público. Essas intervenções podem ocorrer por meio de diversos instrumentos, tais como políticas fiscais, monetárias, regulatórias e tributárias.</w:t>
      </w:r>
    </w:p>
    <w:p w14:paraId="5F9EA3F0" w14:textId="039B4891" w:rsidR="004C1B1E" w:rsidRDefault="00D975E8" w:rsidP="009A1EC1">
      <w:pPr>
        <w:tabs>
          <w:tab w:val="left" w:pos="1276"/>
        </w:tabs>
        <w:spacing w:before="120" w:after="120" w:line="360" w:lineRule="auto"/>
        <w:ind w:firstLine="851"/>
        <w:jc w:val="both"/>
        <w:rPr>
          <w:sz w:val="24"/>
          <w:szCs w:val="24"/>
        </w:rPr>
      </w:pPr>
      <w:r>
        <w:rPr>
          <w:sz w:val="24"/>
          <w:szCs w:val="24"/>
        </w:rPr>
        <w:t xml:space="preserve">Logo, a intervenção no domínio econômico é dever constitucional da União Federal sobre a atividade privada, realizado visando o equilíbrio </w:t>
      </w:r>
      <w:r w:rsidR="009A1EC1">
        <w:rPr>
          <w:sz w:val="24"/>
          <w:szCs w:val="24"/>
        </w:rPr>
        <w:t xml:space="preserve">de mercado, gerando incentivos ou corrigindo problemas que possam surgir diante do dinamismo da economia. </w:t>
      </w:r>
      <w:r w:rsidR="004C1B1E">
        <w:rPr>
          <w:sz w:val="24"/>
          <w:szCs w:val="24"/>
        </w:rPr>
        <w:t xml:space="preserve">Assim, </w:t>
      </w:r>
      <w:r w:rsidR="003031D8">
        <w:rPr>
          <w:sz w:val="24"/>
          <w:szCs w:val="24"/>
        </w:rPr>
        <w:t>n</w:t>
      </w:r>
      <w:r w:rsidR="00F03A03" w:rsidRPr="00F03A03">
        <w:rPr>
          <w:sz w:val="24"/>
          <w:szCs w:val="24"/>
        </w:rPr>
        <w:t xml:space="preserve">este contexto, o Estado brasileiro se manifesta como um agente ativo, implementando medidas para intervir na atividade econômica. </w:t>
      </w:r>
    </w:p>
    <w:p w14:paraId="040D72AA" w14:textId="3D743A37" w:rsidR="006D6A05" w:rsidRDefault="009F7CC3" w:rsidP="005942C9">
      <w:pPr>
        <w:tabs>
          <w:tab w:val="left" w:pos="1276"/>
        </w:tabs>
        <w:spacing w:before="120" w:after="120" w:line="360" w:lineRule="auto"/>
        <w:ind w:firstLine="851"/>
        <w:jc w:val="both"/>
        <w:rPr>
          <w:sz w:val="24"/>
          <w:szCs w:val="24"/>
        </w:rPr>
      </w:pPr>
      <w:r>
        <w:rPr>
          <w:sz w:val="24"/>
          <w:szCs w:val="24"/>
        </w:rPr>
        <w:t xml:space="preserve">Quanto às causas de intervenção, acredito que o legislador não tenha exaurido completamente as causas nesses </w:t>
      </w:r>
      <w:r w:rsidR="005942C9">
        <w:rPr>
          <w:sz w:val="24"/>
          <w:szCs w:val="24"/>
        </w:rPr>
        <w:t xml:space="preserve">onze artigos, de forma que o rol apresentado pela Carta Magna se torna meramente exemplificativo, não ficando restrito </w:t>
      </w:r>
      <w:r w:rsidR="00E40F07" w:rsidRPr="00E40F07">
        <w:rPr>
          <w:sz w:val="24"/>
          <w:szCs w:val="24"/>
        </w:rPr>
        <w:t>exclusivamente aos artigos 170 a 181 da Constituição Federal</w:t>
      </w:r>
      <w:r w:rsidR="009273ED">
        <w:rPr>
          <w:sz w:val="24"/>
          <w:szCs w:val="24"/>
        </w:rPr>
        <w:t>.</w:t>
      </w:r>
      <w:r w:rsidR="00E40F07" w:rsidRPr="00E40F07">
        <w:rPr>
          <w:sz w:val="24"/>
          <w:szCs w:val="24"/>
        </w:rPr>
        <w:t xml:space="preserve"> Embora esses dispositivos estabeleçam os princípios e diretrizes gerais da ordem econômica, as intervenções estatais podem ser motivadas por diversas outras razões, tais como:</w:t>
      </w:r>
      <w:r w:rsidR="00776CF0">
        <w:rPr>
          <w:sz w:val="24"/>
          <w:szCs w:val="24"/>
        </w:rPr>
        <w:t xml:space="preserve"> </w:t>
      </w:r>
    </w:p>
    <w:p w14:paraId="4D26C149" w14:textId="62D1F538" w:rsidR="006D6A05" w:rsidRPr="006D6A05" w:rsidRDefault="00E40F07" w:rsidP="006D6A05">
      <w:pPr>
        <w:pStyle w:val="PargrafodaLista"/>
        <w:numPr>
          <w:ilvl w:val="0"/>
          <w:numId w:val="44"/>
        </w:numPr>
        <w:tabs>
          <w:tab w:val="left" w:pos="1276"/>
        </w:tabs>
        <w:spacing w:before="120" w:after="120" w:line="360" w:lineRule="auto"/>
        <w:jc w:val="both"/>
        <w:rPr>
          <w:sz w:val="24"/>
          <w:szCs w:val="24"/>
        </w:rPr>
      </w:pPr>
      <w:r w:rsidRPr="006D6A05">
        <w:rPr>
          <w:sz w:val="24"/>
          <w:szCs w:val="24"/>
          <w:u w:val="single"/>
        </w:rPr>
        <w:t>Promoção do desenvolvimento regional</w:t>
      </w:r>
      <w:r w:rsidRPr="006D6A05">
        <w:rPr>
          <w:sz w:val="24"/>
          <w:szCs w:val="24"/>
        </w:rPr>
        <w:t>: O Estado pode intervir na economia para promover o desenvolvimento de regiões menos desenvolvidas, por meio de políticas de incentivos fiscais, subsídios e investimentos públicos</w:t>
      </w:r>
      <w:r w:rsidR="00776CF0" w:rsidRPr="006D6A05">
        <w:rPr>
          <w:sz w:val="24"/>
          <w:szCs w:val="24"/>
        </w:rPr>
        <w:t xml:space="preserve">; </w:t>
      </w:r>
    </w:p>
    <w:p w14:paraId="494188AD" w14:textId="77777777" w:rsidR="006D6A05" w:rsidRDefault="00E40F07" w:rsidP="006D6A05">
      <w:pPr>
        <w:pStyle w:val="PargrafodaLista"/>
        <w:numPr>
          <w:ilvl w:val="0"/>
          <w:numId w:val="44"/>
        </w:numPr>
        <w:tabs>
          <w:tab w:val="left" w:pos="1276"/>
        </w:tabs>
        <w:spacing w:before="120" w:after="120" w:line="360" w:lineRule="auto"/>
        <w:jc w:val="both"/>
        <w:rPr>
          <w:sz w:val="24"/>
          <w:szCs w:val="24"/>
        </w:rPr>
      </w:pPr>
      <w:r w:rsidRPr="006D6A05">
        <w:rPr>
          <w:sz w:val="24"/>
          <w:szCs w:val="24"/>
          <w:u w:val="single"/>
        </w:rPr>
        <w:t>Proteção do meio ambiente</w:t>
      </w:r>
      <w:r w:rsidRPr="006D6A05">
        <w:rPr>
          <w:sz w:val="24"/>
          <w:szCs w:val="24"/>
        </w:rPr>
        <w:t>: Intervenções econômicas também podem ser realizadas para proteger o meio ambiente, através da regulação de atividades poluidoras, estabelecimento de incentivos para práticas sustentáveis e outras medidas ambientais</w:t>
      </w:r>
      <w:r w:rsidR="006C1184" w:rsidRPr="006D6A05">
        <w:rPr>
          <w:sz w:val="24"/>
          <w:szCs w:val="24"/>
        </w:rPr>
        <w:t xml:space="preserve">; </w:t>
      </w:r>
    </w:p>
    <w:p w14:paraId="0F60A9C9" w14:textId="77777777" w:rsidR="006D6A05" w:rsidRDefault="00E40F07" w:rsidP="006D6A05">
      <w:pPr>
        <w:pStyle w:val="PargrafodaLista"/>
        <w:numPr>
          <w:ilvl w:val="0"/>
          <w:numId w:val="44"/>
        </w:numPr>
        <w:tabs>
          <w:tab w:val="left" w:pos="1276"/>
        </w:tabs>
        <w:spacing w:before="120" w:after="120" w:line="360" w:lineRule="auto"/>
        <w:jc w:val="both"/>
        <w:rPr>
          <w:sz w:val="24"/>
          <w:szCs w:val="24"/>
        </w:rPr>
      </w:pPr>
      <w:r w:rsidRPr="006D6A05">
        <w:rPr>
          <w:sz w:val="24"/>
          <w:szCs w:val="24"/>
          <w:u w:val="single"/>
        </w:rPr>
        <w:t>Defesa do consumidor</w:t>
      </w:r>
      <w:r w:rsidRPr="006D6A05">
        <w:rPr>
          <w:sz w:val="24"/>
          <w:szCs w:val="24"/>
        </w:rPr>
        <w:t>: O Estado pode intervir na economia para proteger os direitos dos consumidores, regulando práticas comerciais, estabelecendo padrões de qualidade e segurança de produtos, entre outras ações</w:t>
      </w:r>
      <w:r w:rsidR="006D6A05">
        <w:rPr>
          <w:sz w:val="24"/>
          <w:szCs w:val="24"/>
        </w:rPr>
        <w:t>;</w:t>
      </w:r>
      <w:r w:rsidR="006C1184" w:rsidRPr="006D6A05">
        <w:rPr>
          <w:sz w:val="24"/>
          <w:szCs w:val="24"/>
        </w:rPr>
        <w:t xml:space="preserve"> e </w:t>
      </w:r>
    </w:p>
    <w:p w14:paraId="139F0A58" w14:textId="79B0D177" w:rsidR="00E40F07" w:rsidRPr="006D6A05" w:rsidRDefault="006C1184" w:rsidP="006D6A05">
      <w:pPr>
        <w:tabs>
          <w:tab w:val="left" w:pos="1276"/>
        </w:tabs>
        <w:spacing w:before="120" w:after="120" w:line="360" w:lineRule="auto"/>
        <w:ind w:left="360"/>
        <w:jc w:val="both"/>
        <w:rPr>
          <w:sz w:val="24"/>
          <w:szCs w:val="24"/>
        </w:rPr>
      </w:pPr>
      <w:r w:rsidRPr="006D6A05">
        <w:rPr>
          <w:sz w:val="24"/>
          <w:szCs w:val="24"/>
        </w:rPr>
        <w:lastRenderedPageBreak/>
        <w:t>(</w:t>
      </w:r>
      <w:proofErr w:type="spellStart"/>
      <w:r w:rsidRPr="006D6A05">
        <w:rPr>
          <w:sz w:val="24"/>
          <w:szCs w:val="24"/>
        </w:rPr>
        <w:t>iv</w:t>
      </w:r>
      <w:proofErr w:type="spellEnd"/>
      <w:r w:rsidRPr="006D6A05">
        <w:rPr>
          <w:sz w:val="24"/>
          <w:szCs w:val="24"/>
        </w:rPr>
        <w:t xml:space="preserve">) </w:t>
      </w:r>
      <w:r w:rsidR="00E40F07" w:rsidRPr="006D6A05">
        <w:rPr>
          <w:sz w:val="24"/>
          <w:szCs w:val="24"/>
        </w:rPr>
        <w:t>Combate à concentração de poder econômico: Intervenções podem ser realizadas para evitar a formação de monopólios ou oligopólios que prejudiquem a concorrência e a livre iniciativa.</w:t>
      </w:r>
    </w:p>
    <w:p w14:paraId="1E6D8B5F" w14:textId="05C9FCAF" w:rsidR="00E40F07" w:rsidRPr="00A85F3F" w:rsidRDefault="00E40F07" w:rsidP="00A85F3F">
      <w:pPr>
        <w:tabs>
          <w:tab w:val="left" w:pos="1276"/>
        </w:tabs>
        <w:spacing w:before="120" w:after="120" w:line="360" w:lineRule="auto"/>
        <w:ind w:firstLine="851"/>
        <w:jc w:val="both"/>
        <w:rPr>
          <w:sz w:val="24"/>
          <w:szCs w:val="24"/>
        </w:rPr>
      </w:pPr>
      <w:r w:rsidRPr="00E40F07">
        <w:rPr>
          <w:sz w:val="24"/>
          <w:szCs w:val="24"/>
        </w:rPr>
        <w:t>Portanto, embora os princípios e diretrizes econômicas contidos nos artigos 170 a 181 da Constituição sejam importantes referências para as intervenções no domínio econômico, as causas de intervenção podem ser mais amplas e abrangentes, refletindo os diversos objetivos e interesses públicos que podem ser perseguidos pelo Estado na esfera econômica</w:t>
      </w:r>
      <w:r w:rsidR="00A85F3F">
        <w:rPr>
          <w:sz w:val="24"/>
          <w:szCs w:val="24"/>
        </w:rPr>
        <w:t>.</w:t>
      </w:r>
      <w:r w:rsidR="000560D4">
        <w:rPr>
          <w:sz w:val="24"/>
          <w:szCs w:val="24"/>
        </w:rPr>
        <w:t xml:space="preserve"> Afinal, dessa fo</w:t>
      </w:r>
      <w:r w:rsidR="001A6D2B">
        <w:rPr>
          <w:sz w:val="24"/>
          <w:szCs w:val="24"/>
        </w:rPr>
        <w:t xml:space="preserve">rma, permite-se flexibilidade para que o Estado possa realizar as atitudes necessárias de forma a </w:t>
      </w:r>
      <w:r w:rsidR="001E301A">
        <w:rPr>
          <w:sz w:val="24"/>
          <w:szCs w:val="24"/>
        </w:rPr>
        <w:t>proteger a</w:t>
      </w:r>
      <w:r w:rsidR="001A6D2B">
        <w:rPr>
          <w:sz w:val="24"/>
          <w:szCs w:val="24"/>
        </w:rPr>
        <w:t xml:space="preserve"> economia de eventuais problemáticas.</w:t>
      </w:r>
    </w:p>
    <w:p w14:paraId="37C1FBC1" w14:textId="1C9B66A8" w:rsidR="00A85F3F" w:rsidRPr="000D1432" w:rsidRDefault="00A53121" w:rsidP="000D1432">
      <w:pPr>
        <w:pStyle w:val="Recuodecorpodetexto2"/>
        <w:numPr>
          <w:ilvl w:val="0"/>
          <w:numId w:val="14"/>
        </w:numPr>
        <w:tabs>
          <w:tab w:val="clear" w:pos="720"/>
          <w:tab w:val="num" w:pos="1276"/>
        </w:tabs>
        <w:spacing w:before="120" w:after="0" w:line="240" w:lineRule="auto"/>
        <w:ind w:left="1276" w:hanging="425"/>
        <w:jc w:val="both"/>
        <w:rPr>
          <w:b/>
          <w:bCs/>
          <w:sz w:val="24"/>
          <w:szCs w:val="24"/>
        </w:rPr>
      </w:pPr>
      <w:r w:rsidRPr="000D1432">
        <w:rPr>
          <w:b/>
          <w:bCs/>
          <w:sz w:val="24"/>
          <w:szCs w:val="24"/>
        </w:rPr>
        <w:t xml:space="preserve">Quais seus possíveis sujeitos passivos: toda a coletividade ou apenas o setor econômico cuja intervenção se pretende? Considerar o </w:t>
      </w:r>
      <w:hyperlink r:id="rId15" w:history="1">
        <w:r w:rsidRPr="000D1432">
          <w:rPr>
            <w:rStyle w:val="Hyperlink"/>
            <w:b/>
            <w:bCs/>
            <w:sz w:val="24"/>
            <w:szCs w:val="24"/>
          </w:rPr>
          <w:t xml:space="preserve">RE 449.233 </w:t>
        </w:r>
        <w:proofErr w:type="spellStart"/>
        <w:r w:rsidRPr="000D1432">
          <w:rPr>
            <w:rStyle w:val="Hyperlink"/>
            <w:b/>
            <w:bCs/>
            <w:sz w:val="24"/>
            <w:szCs w:val="24"/>
          </w:rPr>
          <w:t>AgR</w:t>
        </w:r>
        <w:proofErr w:type="spellEnd"/>
      </w:hyperlink>
      <w:r w:rsidRPr="000D1432">
        <w:rPr>
          <w:b/>
          <w:bCs/>
          <w:sz w:val="24"/>
          <w:szCs w:val="24"/>
        </w:rPr>
        <w:t xml:space="preserve"> e o </w:t>
      </w:r>
      <w:hyperlink r:id="rId16" w:history="1">
        <w:r w:rsidRPr="000D1432">
          <w:rPr>
            <w:rStyle w:val="Hyperlink"/>
            <w:b/>
            <w:bCs/>
            <w:sz w:val="24"/>
            <w:szCs w:val="24"/>
          </w:rPr>
          <w:t>REsp 995.564/RS</w:t>
        </w:r>
      </w:hyperlink>
      <w:r w:rsidRPr="000D1432">
        <w:rPr>
          <w:b/>
          <w:bCs/>
          <w:sz w:val="24"/>
          <w:szCs w:val="24"/>
        </w:rPr>
        <w:t>.</w:t>
      </w:r>
    </w:p>
    <w:p w14:paraId="325F848D" w14:textId="567CD416" w:rsidR="003F7FCC" w:rsidRDefault="00D83F78" w:rsidP="003F7FCC">
      <w:pPr>
        <w:tabs>
          <w:tab w:val="left" w:pos="1276"/>
        </w:tabs>
        <w:spacing w:before="120" w:after="120" w:line="360" w:lineRule="auto"/>
        <w:ind w:firstLine="851"/>
        <w:jc w:val="both"/>
        <w:rPr>
          <w:sz w:val="24"/>
          <w:szCs w:val="24"/>
        </w:rPr>
      </w:pPr>
      <w:r w:rsidRPr="00BE11EA">
        <w:rPr>
          <w:sz w:val="24"/>
          <w:szCs w:val="24"/>
        </w:rPr>
        <w:t xml:space="preserve">Levando em consideração as decisões apontadas os possíveis sujeitos passivos das Contribuições de Intervenção no Domínio Econômico (CIDE) </w:t>
      </w:r>
      <w:r w:rsidR="007F7D5F">
        <w:rPr>
          <w:sz w:val="24"/>
          <w:szCs w:val="24"/>
        </w:rPr>
        <w:t xml:space="preserve">são apenas o setor econômico cuja intervenção pretende. </w:t>
      </w:r>
    </w:p>
    <w:p w14:paraId="1652F0E9" w14:textId="78F1B7C2" w:rsidR="007F7D5F" w:rsidRDefault="007F7D5F" w:rsidP="003F7FCC">
      <w:pPr>
        <w:tabs>
          <w:tab w:val="left" w:pos="1276"/>
        </w:tabs>
        <w:spacing w:before="120" w:after="120" w:line="360" w:lineRule="auto"/>
        <w:ind w:firstLine="851"/>
        <w:jc w:val="both"/>
        <w:rPr>
          <w:sz w:val="24"/>
          <w:szCs w:val="24"/>
        </w:rPr>
      </w:pPr>
      <w:r>
        <w:rPr>
          <w:sz w:val="24"/>
          <w:szCs w:val="24"/>
        </w:rPr>
        <w:t xml:space="preserve">Lembre-se que </w:t>
      </w:r>
      <w:r w:rsidR="00BA0BFA">
        <w:rPr>
          <w:sz w:val="24"/>
          <w:szCs w:val="24"/>
        </w:rPr>
        <w:t>as C</w:t>
      </w:r>
      <w:r w:rsidR="00BA0BFA" w:rsidRPr="00BA0BFA">
        <w:rPr>
          <w:sz w:val="24"/>
          <w:szCs w:val="24"/>
        </w:rPr>
        <w:t xml:space="preserve">ontribuições de </w:t>
      </w:r>
      <w:r w:rsidR="00BA0BFA">
        <w:rPr>
          <w:sz w:val="24"/>
          <w:szCs w:val="24"/>
        </w:rPr>
        <w:t>I</w:t>
      </w:r>
      <w:r w:rsidR="00BA0BFA" w:rsidRPr="00BA0BFA">
        <w:rPr>
          <w:sz w:val="24"/>
          <w:szCs w:val="24"/>
        </w:rPr>
        <w:t xml:space="preserve">ntervenção no </w:t>
      </w:r>
      <w:r w:rsidR="00BA0BFA">
        <w:rPr>
          <w:sz w:val="24"/>
          <w:szCs w:val="24"/>
        </w:rPr>
        <w:t>D</w:t>
      </w:r>
      <w:r w:rsidR="00BA0BFA" w:rsidRPr="00BA0BFA">
        <w:rPr>
          <w:sz w:val="24"/>
          <w:szCs w:val="24"/>
        </w:rPr>
        <w:t xml:space="preserve">omínio </w:t>
      </w:r>
      <w:r w:rsidR="00BA0BFA">
        <w:rPr>
          <w:sz w:val="24"/>
          <w:szCs w:val="24"/>
        </w:rPr>
        <w:t>E</w:t>
      </w:r>
      <w:r w:rsidR="00BA0BFA" w:rsidRPr="00BA0BFA">
        <w:rPr>
          <w:sz w:val="24"/>
          <w:szCs w:val="24"/>
        </w:rPr>
        <w:t>conômico são espécie do gênero contribuições especiais</w:t>
      </w:r>
      <w:r w:rsidR="00D57C03">
        <w:rPr>
          <w:sz w:val="24"/>
          <w:szCs w:val="24"/>
        </w:rPr>
        <w:t xml:space="preserve"> </w:t>
      </w:r>
      <w:r w:rsidR="00D57C03" w:rsidRPr="00D57C03">
        <w:rPr>
          <w:sz w:val="24"/>
          <w:szCs w:val="24"/>
        </w:rPr>
        <w:t xml:space="preserve">que possuem eminentemente um caráter </w:t>
      </w:r>
      <w:r w:rsidR="00EE023F" w:rsidRPr="00D57C03">
        <w:rPr>
          <w:sz w:val="24"/>
          <w:szCs w:val="24"/>
        </w:rPr>
        <w:t>extrafiscal</w:t>
      </w:r>
      <w:r w:rsidR="00EE023F" w:rsidRPr="00EE023F">
        <w:t>,</w:t>
      </w:r>
      <w:r w:rsidR="00EE023F" w:rsidRPr="00EE023F">
        <w:rPr>
          <w:sz w:val="24"/>
          <w:szCs w:val="24"/>
        </w:rPr>
        <w:t xml:space="preserve"> ou seja, sua principal função não é arrecadar recursos ou fiscalizar, mas sim agir como instrumentos de planejamento. Elas buscam corrigir distorções e abusos em determinados segmentos da economia, visando equilibrar as relações de poder econômico. Além disso, podem ser utilizadas para promover um desenvolvimento mais favorável em um setor específico da economia, criando condições que incentivem seu crescimento.</w:t>
      </w:r>
    </w:p>
    <w:p w14:paraId="2E1D0054" w14:textId="17B7D16F" w:rsidR="00444665" w:rsidRPr="00444665" w:rsidRDefault="00444665" w:rsidP="00444665">
      <w:pPr>
        <w:tabs>
          <w:tab w:val="left" w:pos="1276"/>
        </w:tabs>
        <w:spacing w:before="120" w:after="120" w:line="360" w:lineRule="auto"/>
        <w:ind w:firstLine="851"/>
        <w:jc w:val="both"/>
        <w:rPr>
          <w:sz w:val="24"/>
          <w:szCs w:val="24"/>
        </w:rPr>
      </w:pPr>
      <w:r w:rsidRPr="00444665">
        <w:rPr>
          <w:sz w:val="24"/>
          <w:szCs w:val="24"/>
        </w:rPr>
        <w:t>No julgamento do Recurso Especial (REsp) 995.564/RS, o Superior Tribunal de Justiça (STJ) definiu que a CIDE-Combustíveis pode ter como sujeito passivo tanto os produtores quanto os importadores de combustíveis. Nesse caso, o STJ entendeu que a CIDE-Combustíveis poderia incidir sobre um setor específico da economia, ou seja, aqueles que produzem ou importam combustíveis, e não sobre toda a coletividade.</w:t>
      </w:r>
    </w:p>
    <w:p w14:paraId="058EE480" w14:textId="2D527160" w:rsidR="00A85F3F" w:rsidRDefault="00444665" w:rsidP="004A631D">
      <w:pPr>
        <w:tabs>
          <w:tab w:val="left" w:pos="1276"/>
        </w:tabs>
        <w:spacing w:before="120" w:after="120" w:line="360" w:lineRule="auto"/>
        <w:ind w:firstLine="851"/>
        <w:jc w:val="both"/>
        <w:rPr>
          <w:sz w:val="24"/>
          <w:szCs w:val="24"/>
        </w:rPr>
      </w:pPr>
      <w:r w:rsidRPr="00444665">
        <w:rPr>
          <w:sz w:val="24"/>
          <w:szCs w:val="24"/>
        </w:rPr>
        <w:lastRenderedPageBreak/>
        <w:t xml:space="preserve">Já no Recurso Extraordinário (RE) 449.233 </w:t>
      </w:r>
      <w:proofErr w:type="spellStart"/>
      <w:r w:rsidRPr="00444665">
        <w:rPr>
          <w:sz w:val="24"/>
          <w:szCs w:val="24"/>
        </w:rPr>
        <w:t>AgR</w:t>
      </w:r>
      <w:proofErr w:type="spellEnd"/>
      <w:r w:rsidRPr="00444665">
        <w:rPr>
          <w:sz w:val="24"/>
          <w:szCs w:val="24"/>
        </w:rPr>
        <w:t xml:space="preserve">, o Supremo Tribunal Federal (STF) tratou da CIDE-Remessas ao Exterior. Neste caso, o STF considerou constitucional a cobrança da CIDE-Remessas ao Exterior sobre empresas que realizam remessas de valores para o exterior. Novamente, a decisão sugere que os sujeitos passivos das </w:t>
      </w:r>
      <w:proofErr w:type="spellStart"/>
      <w:r w:rsidRPr="00444665">
        <w:rPr>
          <w:sz w:val="24"/>
          <w:szCs w:val="24"/>
        </w:rPr>
        <w:t>CIDEs</w:t>
      </w:r>
      <w:proofErr w:type="spellEnd"/>
      <w:r w:rsidRPr="00444665">
        <w:rPr>
          <w:sz w:val="24"/>
          <w:szCs w:val="24"/>
        </w:rPr>
        <w:t xml:space="preserve"> podem ser empresas ou setores econômicos específicos, e não necessariamente toda a coletividade.</w:t>
      </w:r>
    </w:p>
    <w:p w14:paraId="35CBF3BC" w14:textId="6618ED9B" w:rsidR="001B6264" w:rsidRPr="00FB2D31" w:rsidRDefault="00A53121" w:rsidP="00FB2D31">
      <w:pPr>
        <w:pStyle w:val="Recuodecorpodetexto2"/>
        <w:numPr>
          <w:ilvl w:val="0"/>
          <w:numId w:val="14"/>
        </w:numPr>
        <w:tabs>
          <w:tab w:val="clear" w:pos="720"/>
          <w:tab w:val="num" w:pos="1276"/>
        </w:tabs>
        <w:spacing w:before="120" w:after="0" w:line="240" w:lineRule="auto"/>
        <w:ind w:left="1276" w:hanging="425"/>
        <w:jc w:val="both"/>
        <w:rPr>
          <w:b/>
          <w:bCs/>
          <w:sz w:val="24"/>
          <w:szCs w:val="24"/>
        </w:rPr>
      </w:pPr>
      <w:r w:rsidRPr="00AA45C1">
        <w:rPr>
          <w:b/>
          <w:bCs/>
          <w:sz w:val="24"/>
          <w:szCs w:val="24"/>
        </w:rPr>
        <w:t>O produto da sua arrecadação deve ser legalmente destinado à intervenção no setor econômico de que trata a contribuição (intervenção positiva) ou é possível a instituição de contribuição de intervenção no domínio econômico, com a finalidade de desestimular determinada atividade, ou seja, com caráter extrafiscal (intervenção negativa)?</w:t>
      </w:r>
    </w:p>
    <w:p w14:paraId="4CC0E818" w14:textId="77777777" w:rsidR="006643D4" w:rsidRDefault="00FB2D31" w:rsidP="006643D4">
      <w:pPr>
        <w:tabs>
          <w:tab w:val="left" w:pos="1276"/>
        </w:tabs>
        <w:spacing w:before="120" w:after="120" w:line="360" w:lineRule="auto"/>
        <w:ind w:firstLine="851"/>
        <w:jc w:val="both"/>
        <w:rPr>
          <w:sz w:val="24"/>
          <w:szCs w:val="24"/>
        </w:rPr>
      </w:pPr>
      <w:r w:rsidRPr="00FB2D31">
        <w:rPr>
          <w:sz w:val="24"/>
          <w:szCs w:val="24"/>
        </w:rPr>
        <w:t xml:space="preserve">As </w:t>
      </w:r>
      <w:r w:rsidR="009E341B">
        <w:rPr>
          <w:sz w:val="24"/>
          <w:szCs w:val="24"/>
        </w:rPr>
        <w:t>C</w:t>
      </w:r>
      <w:r w:rsidRPr="00FB2D31">
        <w:rPr>
          <w:sz w:val="24"/>
          <w:szCs w:val="24"/>
        </w:rPr>
        <w:t xml:space="preserve">ontribuições de </w:t>
      </w:r>
      <w:r w:rsidR="009E341B">
        <w:rPr>
          <w:sz w:val="24"/>
          <w:szCs w:val="24"/>
        </w:rPr>
        <w:t>I</w:t>
      </w:r>
      <w:r w:rsidRPr="00FB2D31">
        <w:rPr>
          <w:sz w:val="24"/>
          <w:szCs w:val="24"/>
        </w:rPr>
        <w:t xml:space="preserve">ntervenção no </w:t>
      </w:r>
      <w:r w:rsidR="009E341B">
        <w:rPr>
          <w:sz w:val="24"/>
          <w:szCs w:val="24"/>
        </w:rPr>
        <w:t>D</w:t>
      </w:r>
      <w:r w:rsidRPr="00FB2D31">
        <w:rPr>
          <w:sz w:val="24"/>
          <w:szCs w:val="24"/>
        </w:rPr>
        <w:t xml:space="preserve">omínio </w:t>
      </w:r>
      <w:r w:rsidR="009E341B">
        <w:rPr>
          <w:sz w:val="24"/>
          <w:szCs w:val="24"/>
        </w:rPr>
        <w:t>E</w:t>
      </w:r>
      <w:r w:rsidRPr="00FB2D31">
        <w:rPr>
          <w:sz w:val="24"/>
          <w:szCs w:val="24"/>
        </w:rPr>
        <w:t>conômico (</w:t>
      </w:r>
      <w:proofErr w:type="spellStart"/>
      <w:r w:rsidRPr="00FB2D31">
        <w:rPr>
          <w:sz w:val="24"/>
          <w:szCs w:val="24"/>
        </w:rPr>
        <w:t>CIDE</w:t>
      </w:r>
      <w:r w:rsidR="00330E55">
        <w:rPr>
          <w:sz w:val="24"/>
          <w:szCs w:val="24"/>
        </w:rPr>
        <w:t>s</w:t>
      </w:r>
      <w:proofErr w:type="spellEnd"/>
      <w:r w:rsidRPr="00FB2D31">
        <w:rPr>
          <w:sz w:val="24"/>
          <w:szCs w:val="24"/>
        </w:rPr>
        <w:t>)</w:t>
      </w:r>
      <w:r w:rsidR="00B13927">
        <w:rPr>
          <w:sz w:val="24"/>
          <w:szCs w:val="24"/>
        </w:rPr>
        <w:t xml:space="preserve"> possuem </w:t>
      </w:r>
      <w:r w:rsidR="00B55DAD">
        <w:rPr>
          <w:sz w:val="24"/>
          <w:szCs w:val="24"/>
        </w:rPr>
        <w:t xml:space="preserve">caráter fiscal e/ou extrafiscal, isso porque claramente possuem viés arrecadatório de determinado setor econômico, ao passo que também regulam a economia, de forma que </w:t>
      </w:r>
      <w:r w:rsidR="006643D4">
        <w:rPr>
          <w:sz w:val="24"/>
          <w:szCs w:val="24"/>
        </w:rPr>
        <w:t xml:space="preserve">se </w:t>
      </w:r>
      <w:r w:rsidR="00B55DAD">
        <w:rPr>
          <w:sz w:val="24"/>
          <w:szCs w:val="24"/>
        </w:rPr>
        <w:t>torna</w:t>
      </w:r>
      <w:r w:rsidR="006643D4">
        <w:rPr>
          <w:sz w:val="24"/>
          <w:szCs w:val="24"/>
        </w:rPr>
        <w:t xml:space="preserve"> um</w:t>
      </w:r>
      <w:r w:rsidR="00B55DAD">
        <w:rPr>
          <w:sz w:val="24"/>
          <w:szCs w:val="24"/>
        </w:rPr>
        <w:t xml:space="preserve"> tributo multifacetado/heterogêneo nesse sentido.</w:t>
      </w:r>
    </w:p>
    <w:p w14:paraId="52849E77" w14:textId="452D200E" w:rsidR="00FB2D31" w:rsidRDefault="00B55DAD" w:rsidP="006643D4">
      <w:pPr>
        <w:tabs>
          <w:tab w:val="left" w:pos="1276"/>
        </w:tabs>
        <w:spacing w:before="120" w:after="120" w:line="360" w:lineRule="auto"/>
        <w:ind w:firstLine="851"/>
        <w:jc w:val="both"/>
        <w:rPr>
          <w:sz w:val="24"/>
          <w:szCs w:val="24"/>
        </w:rPr>
      </w:pPr>
      <w:r>
        <w:rPr>
          <w:sz w:val="24"/>
          <w:szCs w:val="24"/>
        </w:rPr>
        <w:t xml:space="preserve"> </w:t>
      </w:r>
      <w:r w:rsidR="00CF58E8">
        <w:rPr>
          <w:sz w:val="24"/>
          <w:szCs w:val="24"/>
        </w:rPr>
        <w:t>Logo</w:t>
      </w:r>
      <w:r w:rsidR="006643D4">
        <w:rPr>
          <w:sz w:val="24"/>
          <w:szCs w:val="24"/>
        </w:rPr>
        <w:t xml:space="preserve">, as </w:t>
      </w:r>
      <w:proofErr w:type="spellStart"/>
      <w:r w:rsidR="006643D4">
        <w:rPr>
          <w:sz w:val="24"/>
          <w:szCs w:val="24"/>
        </w:rPr>
        <w:t>CIDEs</w:t>
      </w:r>
      <w:proofErr w:type="spellEnd"/>
      <w:r w:rsidR="00FB2D31" w:rsidRPr="00FB2D31">
        <w:rPr>
          <w:sz w:val="24"/>
          <w:szCs w:val="24"/>
        </w:rPr>
        <w:t xml:space="preserve"> têm como finalidade principal a intervenção direta ou indireta do Estado na economia, podendo ser tanto de caráter positivo (intervenção direta para fomentar ou regular determinado setor) quanto negativo (intervenção indireta para desestimular ou regular negativamente uma atividade).</w:t>
      </w:r>
    </w:p>
    <w:p w14:paraId="4B127401" w14:textId="702EAC1A" w:rsidR="000D5D5D" w:rsidRDefault="00B74A1E" w:rsidP="00CE4753">
      <w:pPr>
        <w:tabs>
          <w:tab w:val="left" w:pos="1276"/>
        </w:tabs>
        <w:spacing w:before="120" w:after="120" w:line="360" w:lineRule="auto"/>
        <w:ind w:firstLine="851"/>
        <w:jc w:val="both"/>
        <w:rPr>
          <w:sz w:val="24"/>
          <w:szCs w:val="24"/>
        </w:rPr>
      </w:pPr>
      <w:r>
        <w:rPr>
          <w:sz w:val="24"/>
          <w:szCs w:val="24"/>
        </w:rPr>
        <w:t xml:space="preserve">Diante disso, </w:t>
      </w:r>
      <w:r w:rsidR="00F47315">
        <w:rPr>
          <w:sz w:val="24"/>
          <w:szCs w:val="24"/>
        </w:rPr>
        <w:t xml:space="preserve">fica evidente que </w:t>
      </w:r>
      <w:r>
        <w:rPr>
          <w:sz w:val="24"/>
          <w:szCs w:val="24"/>
        </w:rPr>
        <w:t>é possíve</w:t>
      </w:r>
      <w:r w:rsidR="00F70135">
        <w:rPr>
          <w:sz w:val="24"/>
          <w:szCs w:val="24"/>
        </w:rPr>
        <w:t>l</w:t>
      </w:r>
      <w:r w:rsidR="005235D0">
        <w:rPr>
          <w:sz w:val="24"/>
          <w:szCs w:val="24"/>
        </w:rPr>
        <w:t xml:space="preserve"> </w:t>
      </w:r>
      <w:r w:rsidR="005235D0" w:rsidRPr="005235D0">
        <w:rPr>
          <w:sz w:val="24"/>
          <w:szCs w:val="24"/>
        </w:rPr>
        <w:t>instituir uma CIDE com a finalidade de desestimular determinada atividade (intervenção negativa</w:t>
      </w:r>
      <w:r w:rsidR="005235D0">
        <w:rPr>
          <w:sz w:val="24"/>
          <w:szCs w:val="24"/>
        </w:rPr>
        <w:t xml:space="preserve">). </w:t>
      </w:r>
      <w:r w:rsidR="00400ED8" w:rsidRPr="00400ED8">
        <w:rPr>
          <w:sz w:val="24"/>
          <w:szCs w:val="24"/>
        </w:rPr>
        <w:t xml:space="preserve">As </w:t>
      </w:r>
      <w:r w:rsidR="00330E55">
        <w:rPr>
          <w:sz w:val="24"/>
          <w:szCs w:val="24"/>
        </w:rPr>
        <w:t>C</w:t>
      </w:r>
      <w:r w:rsidR="00400ED8" w:rsidRPr="00400ED8">
        <w:rPr>
          <w:sz w:val="24"/>
          <w:szCs w:val="24"/>
        </w:rPr>
        <w:t xml:space="preserve">ontribuições de </w:t>
      </w:r>
      <w:r w:rsidR="00330E55">
        <w:rPr>
          <w:sz w:val="24"/>
          <w:szCs w:val="24"/>
        </w:rPr>
        <w:t>I</w:t>
      </w:r>
      <w:r w:rsidR="00400ED8" w:rsidRPr="00400ED8">
        <w:rPr>
          <w:sz w:val="24"/>
          <w:szCs w:val="24"/>
        </w:rPr>
        <w:t xml:space="preserve">ntervenção no </w:t>
      </w:r>
      <w:r w:rsidR="00330E55">
        <w:rPr>
          <w:sz w:val="24"/>
          <w:szCs w:val="24"/>
        </w:rPr>
        <w:t>D</w:t>
      </w:r>
      <w:r w:rsidR="00400ED8" w:rsidRPr="00400ED8">
        <w:rPr>
          <w:sz w:val="24"/>
          <w:szCs w:val="24"/>
        </w:rPr>
        <w:t xml:space="preserve">omínio </w:t>
      </w:r>
      <w:r w:rsidR="00330E55">
        <w:rPr>
          <w:sz w:val="24"/>
          <w:szCs w:val="24"/>
        </w:rPr>
        <w:t>E</w:t>
      </w:r>
      <w:r w:rsidR="00400ED8" w:rsidRPr="00400ED8">
        <w:rPr>
          <w:sz w:val="24"/>
          <w:szCs w:val="24"/>
        </w:rPr>
        <w:t>conômico podem ter um caráter extrafiscal, ou seja, podem ser utilizadas como instrumento para além da arrecadação de recursos, visando a regulação e controle de certas atividades econômicas. Essas contribuições podem ser aplicadas para desencorajar práticas prejudiciais ao meio ambiente, por exemplo, como é o caso da CIDE-Combustíveis, que tem o objetivo de desestimular o consumo excessivo de combustíveis fósseis.</w:t>
      </w:r>
    </w:p>
    <w:p w14:paraId="4192E0DC" w14:textId="121DB367" w:rsidR="003D3611" w:rsidRPr="00E403B7" w:rsidRDefault="00915D83" w:rsidP="00915D83">
      <w:pPr>
        <w:tabs>
          <w:tab w:val="left" w:pos="1276"/>
        </w:tabs>
        <w:spacing w:before="120" w:after="120" w:line="360" w:lineRule="auto"/>
        <w:ind w:firstLine="851"/>
        <w:jc w:val="both"/>
        <w:rPr>
          <w:sz w:val="24"/>
          <w:szCs w:val="24"/>
        </w:rPr>
      </w:pPr>
      <w:r w:rsidRPr="00915D83">
        <w:rPr>
          <w:sz w:val="24"/>
          <w:szCs w:val="24"/>
        </w:rPr>
        <w:t xml:space="preserve">No entanto, é importante ressaltar que, independentemente da finalidade (positiva ou negativa), o produto da arrecadação das </w:t>
      </w:r>
      <w:r w:rsidR="00862F27">
        <w:rPr>
          <w:sz w:val="24"/>
          <w:szCs w:val="24"/>
        </w:rPr>
        <w:t>C</w:t>
      </w:r>
      <w:r w:rsidRPr="00915D83">
        <w:rPr>
          <w:sz w:val="24"/>
          <w:szCs w:val="24"/>
        </w:rPr>
        <w:t xml:space="preserve">ontribuições de </w:t>
      </w:r>
      <w:r w:rsidR="00862F27">
        <w:rPr>
          <w:sz w:val="24"/>
          <w:szCs w:val="24"/>
        </w:rPr>
        <w:t>I</w:t>
      </w:r>
      <w:r w:rsidRPr="00915D83">
        <w:rPr>
          <w:sz w:val="24"/>
          <w:szCs w:val="24"/>
        </w:rPr>
        <w:t xml:space="preserve">ntervenção no </w:t>
      </w:r>
      <w:r w:rsidR="00862F27">
        <w:rPr>
          <w:sz w:val="24"/>
          <w:szCs w:val="24"/>
        </w:rPr>
        <w:t>D</w:t>
      </w:r>
      <w:r w:rsidRPr="00915D83">
        <w:rPr>
          <w:sz w:val="24"/>
          <w:szCs w:val="24"/>
        </w:rPr>
        <w:t xml:space="preserve">omínio </w:t>
      </w:r>
      <w:r w:rsidR="00862F27">
        <w:rPr>
          <w:sz w:val="24"/>
          <w:szCs w:val="24"/>
        </w:rPr>
        <w:t>E</w:t>
      </w:r>
      <w:r w:rsidRPr="00915D83">
        <w:rPr>
          <w:sz w:val="24"/>
          <w:szCs w:val="24"/>
        </w:rPr>
        <w:t xml:space="preserve">conômico deve ser legalmente destinado à intervenção no setor econômico de </w:t>
      </w:r>
      <w:r w:rsidRPr="00915D83">
        <w:rPr>
          <w:sz w:val="24"/>
          <w:szCs w:val="24"/>
        </w:rPr>
        <w:lastRenderedPageBreak/>
        <w:t>que trata a contribuição. Isso significa que os recursos arrecadados devem ser aplicados de acordo com os objetivos específicos estabelecidos para cada tipo de CIDE, seja para fomentar, regular, ou desestimular determinadas atividades econômicas.</w:t>
      </w:r>
    </w:p>
    <w:p w14:paraId="424D5062" w14:textId="77777777" w:rsidR="00A53121" w:rsidRPr="008E127C" w:rsidRDefault="00A53121" w:rsidP="00375742">
      <w:pPr>
        <w:numPr>
          <w:ilvl w:val="0"/>
          <w:numId w:val="11"/>
        </w:numPr>
        <w:tabs>
          <w:tab w:val="clear" w:pos="360"/>
          <w:tab w:val="num" w:pos="426"/>
        </w:tabs>
        <w:spacing w:before="120"/>
        <w:ind w:left="425" w:hanging="425"/>
        <w:jc w:val="both"/>
        <w:rPr>
          <w:b/>
          <w:bCs/>
          <w:sz w:val="24"/>
          <w:szCs w:val="24"/>
        </w:rPr>
      </w:pPr>
      <w:r w:rsidRPr="008E127C">
        <w:rPr>
          <w:b/>
          <w:bCs/>
          <w:sz w:val="24"/>
          <w:szCs w:val="24"/>
        </w:rPr>
        <w:t xml:space="preserve">Considerando que, atualmente, a base de cálculo da </w:t>
      </w:r>
      <w:bookmarkStart w:id="0" w:name="_Hlk164170872"/>
      <w:r w:rsidRPr="008E127C">
        <w:rPr>
          <w:b/>
          <w:bCs/>
          <w:sz w:val="24"/>
          <w:szCs w:val="24"/>
        </w:rPr>
        <w:t>Contribuição ao PIS e da COFINS</w:t>
      </w:r>
      <w:bookmarkEnd w:id="0"/>
      <w:r w:rsidRPr="008E127C">
        <w:rPr>
          <w:b/>
          <w:bCs/>
          <w:sz w:val="24"/>
          <w:szCs w:val="24"/>
        </w:rPr>
        <w:t xml:space="preserve"> é a receita bruta da pessoa jurídica, responda:</w:t>
      </w:r>
    </w:p>
    <w:p w14:paraId="21B73C15" w14:textId="0BD92116" w:rsidR="00734DFD" w:rsidRPr="0011462C" w:rsidRDefault="00A53121" w:rsidP="00734DFD">
      <w:pPr>
        <w:pStyle w:val="Recuodecorpodetexto2"/>
        <w:numPr>
          <w:ilvl w:val="0"/>
          <w:numId w:val="15"/>
        </w:numPr>
        <w:tabs>
          <w:tab w:val="clear" w:pos="720"/>
          <w:tab w:val="num" w:pos="1276"/>
        </w:tabs>
        <w:spacing w:before="120" w:after="0" w:line="240" w:lineRule="auto"/>
        <w:ind w:left="1276" w:hanging="425"/>
        <w:jc w:val="both"/>
        <w:rPr>
          <w:b/>
          <w:bCs/>
          <w:sz w:val="24"/>
          <w:szCs w:val="24"/>
        </w:rPr>
      </w:pPr>
      <w:r w:rsidRPr="0011462C">
        <w:rPr>
          <w:b/>
          <w:bCs/>
          <w:sz w:val="24"/>
          <w:szCs w:val="24"/>
        </w:rPr>
        <w:t>Que é receita bruta?</w:t>
      </w:r>
    </w:p>
    <w:p w14:paraId="526C6ADD" w14:textId="50FF0D34" w:rsidR="0011462C" w:rsidRDefault="005F5724" w:rsidP="00ED43E2">
      <w:pPr>
        <w:tabs>
          <w:tab w:val="left" w:pos="1276"/>
        </w:tabs>
        <w:spacing w:before="120" w:after="120" w:line="360" w:lineRule="auto"/>
        <w:ind w:firstLine="851"/>
        <w:jc w:val="both"/>
        <w:rPr>
          <w:sz w:val="24"/>
          <w:szCs w:val="24"/>
        </w:rPr>
      </w:pPr>
      <w:r>
        <w:rPr>
          <w:sz w:val="24"/>
          <w:szCs w:val="24"/>
        </w:rPr>
        <w:t xml:space="preserve">As </w:t>
      </w:r>
      <w:r w:rsidR="00155536" w:rsidRPr="00155536">
        <w:rPr>
          <w:sz w:val="24"/>
          <w:szCs w:val="24"/>
        </w:rPr>
        <w:t xml:space="preserve">Contribuição ao PIS </w:t>
      </w:r>
      <w:r w:rsidR="00DE4888" w:rsidRPr="00DE4888">
        <w:rPr>
          <w:sz w:val="24"/>
          <w:szCs w:val="24"/>
        </w:rPr>
        <w:t xml:space="preserve">(Programa de Integração Social) </w:t>
      </w:r>
      <w:r w:rsidR="00155536" w:rsidRPr="00155536">
        <w:rPr>
          <w:sz w:val="24"/>
          <w:szCs w:val="24"/>
        </w:rPr>
        <w:t>e da COFINS</w:t>
      </w:r>
      <w:r w:rsidR="00F10469">
        <w:rPr>
          <w:sz w:val="24"/>
          <w:szCs w:val="24"/>
        </w:rPr>
        <w:t xml:space="preserve"> </w:t>
      </w:r>
      <w:r w:rsidR="00F10469" w:rsidRPr="00F10469">
        <w:rPr>
          <w:sz w:val="24"/>
          <w:szCs w:val="24"/>
        </w:rPr>
        <w:t>Contribuição para o Financiamento da Seguridade Social)</w:t>
      </w:r>
      <w:r w:rsidR="00155536">
        <w:rPr>
          <w:sz w:val="24"/>
          <w:szCs w:val="24"/>
        </w:rPr>
        <w:t xml:space="preserve"> passaram por um longo caminho de mudanças</w:t>
      </w:r>
      <w:r w:rsidR="00C30139">
        <w:rPr>
          <w:sz w:val="24"/>
          <w:szCs w:val="24"/>
        </w:rPr>
        <w:t xml:space="preserve">, muitas vezes levadas até aos tribunais como o conceito de faturamento e depois de receita. </w:t>
      </w:r>
    </w:p>
    <w:p w14:paraId="4B4426D2" w14:textId="1A834674" w:rsidR="00824484" w:rsidRDefault="00824484" w:rsidP="00ED43E2">
      <w:pPr>
        <w:tabs>
          <w:tab w:val="left" w:pos="1276"/>
        </w:tabs>
        <w:spacing w:before="120" w:after="120" w:line="360" w:lineRule="auto"/>
        <w:ind w:firstLine="851"/>
        <w:jc w:val="both"/>
        <w:rPr>
          <w:sz w:val="24"/>
          <w:szCs w:val="24"/>
        </w:rPr>
      </w:pPr>
      <w:r>
        <w:rPr>
          <w:sz w:val="24"/>
          <w:szCs w:val="24"/>
        </w:rPr>
        <w:t>O art. 3º da Lei Complementar nº 7 determina que o PIS devido pelas empresas com finalidade lucrativa</w:t>
      </w:r>
      <w:r w:rsidR="00E041C8">
        <w:rPr>
          <w:sz w:val="24"/>
          <w:szCs w:val="24"/>
        </w:rPr>
        <w:t>, dentro outras hipóteses hoje revogadas, seja calculado com base no faturamento, mediante aplicação de alíquota</w:t>
      </w:r>
      <w:r w:rsidR="00D37363">
        <w:rPr>
          <w:sz w:val="24"/>
          <w:szCs w:val="24"/>
        </w:rPr>
        <w:t xml:space="preserve"> prevista em lei. </w:t>
      </w:r>
    </w:p>
    <w:p w14:paraId="62F2CA6E" w14:textId="198087CB" w:rsidR="00D37363" w:rsidRDefault="00D37363" w:rsidP="00ED43E2">
      <w:pPr>
        <w:tabs>
          <w:tab w:val="left" w:pos="1276"/>
        </w:tabs>
        <w:spacing w:before="120" w:after="120" w:line="360" w:lineRule="auto"/>
        <w:ind w:firstLine="851"/>
        <w:jc w:val="both"/>
        <w:rPr>
          <w:sz w:val="24"/>
          <w:szCs w:val="24"/>
        </w:rPr>
      </w:pPr>
      <w:r>
        <w:rPr>
          <w:sz w:val="24"/>
          <w:szCs w:val="24"/>
        </w:rPr>
        <w:t>A Constituição Federal determina</w:t>
      </w:r>
      <w:r w:rsidR="002129C7">
        <w:rPr>
          <w:sz w:val="24"/>
          <w:szCs w:val="24"/>
        </w:rPr>
        <w:t>va</w:t>
      </w:r>
      <w:r>
        <w:rPr>
          <w:sz w:val="24"/>
          <w:szCs w:val="24"/>
        </w:rPr>
        <w:t xml:space="preserve"> em seu art. 195, </w:t>
      </w:r>
      <w:r w:rsidR="00FD731A">
        <w:rPr>
          <w:sz w:val="24"/>
          <w:szCs w:val="24"/>
        </w:rPr>
        <w:t>I</w:t>
      </w:r>
      <w:r>
        <w:rPr>
          <w:sz w:val="24"/>
          <w:szCs w:val="24"/>
        </w:rPr>
        <w:t>, b</w:t>
      </w:r>
      <w:r w:rsidR="00FD731A">
        <w:rPr>
          <w:sz w:val="24"/>
          <w:szCs w:val="24"/>
        </w:rPr>
        <w:t>, como fonte para a seguridade social</w:t>
      </w:r>
      <w:r w:rsidR="007A75D6">
        <w:rPr>
          <w:sz w:val="24"/>
          <w:szCs w:val="24"/>
        </w:rPr>
        <w:t xml:space="preserve"> dentre outras o faturamento. </w:t>
      </w:r>
    </w:p>
    <w:p w14:paraId="788FCC42" w14:textId="1EE583E4" w:rsidR="007A75D6" w:rsidRDefault="007A75D6" w:rsidP="00F2155B">
      <w:pPr>
        <w:tabs>
          <w:tab w:val="left" w:pos="1276"/>
        </w:tabs>
        <w:spacing w:before="120" w:after="120" w:line="360" w:lineRule="auto"/>
        <w:ind w:firstLine="851"/>
        <w:jc w:val="both"/>
        <w:rPr>
          <w:sz w:val="24"/>
          <w:szCs w:val="24"/>
        </w:rPr>
      </w:pPr>
      <w:r>
        <w:rPr>
          <w:sz w:val="24"/>
          <w:szCs w:val="24"/>
        </w:rPr>
        <w:t>Com a Emenda Constitucional nº</w:t>
      </w:r>
      <w:r w:rsidR="001605E1">
        <w:rPr>
          <w:sz w:val="24"/>
          <w:szCs w:val="24"/>
        </w:rPr>
        <w:t xml:space="preserve"> 2º de 15/12/98, a receita também passou a integrar</w:t>
      </w:r>
      <w:r w:rsidR="00F83158">
        <w:rPr>
          <w:sz w:val="24"/>
          <w:szCs w:val="24"/>
        </w:rPr>
        <w:t xml:space="preserve"> as fontes de custeio da seguridade social. O fato é que, a essa época</w:t>
      </w:r>
      <w:r w:rsidR="00C82343">
        <w:rPr>
          <w:sz w:val="24"/>
          <w:szCs w:val="24"/>
        </w:rPr>
        <w:t xml:space="preserve">, </w:t>
      </w:r>
      <w:r w:rsidR="00E47331">
        <w:rPr>
          <w:sz w:val="24"/>
          <w:szCs w:val="24"/>
        </w:rPr>
        <w:t>o, §</w:t>
      </w:r>
      <w:r w:rsidR="00C82343">
        <w:rPr>
          <w:sz w:val="24"/>
          <w:szCs w:val="24"/>
        </w:rPr>
        <w:t>1º</w:t>
      </w:r>
      <w:r w:rsidR="001F132B">
        <w:rPr>
          <w:sz w:val="24"/>
          <w:szCs w:val="24"/>
        </w:rPr>
        <w:t>, do art. 3º</w:t>
      </w:r>
      <w:r w:rsidR="00E227FB">
        <w:rPr>
          <w:sz w:val="24"/>
          <w:szCs w:val="24"/>
        </w:rPr>
        <w:t xml:space="preserve"> da Lei nº 9.718/</w:t>
      </w:r>
      <w:r w:rsidR="00F651DD">
        <w:rPr>
          <w:sz w:val="24"/>
          <w:szCs w:val="24"/>
        </w:rPr>
        <w:t>98</w:t>
      </w:r>
      <w:r w:rsidR="00855DE6">
        <w:rPr>
          <w:sz w:val="24"/>
          <w:szCs w:val="24"/>
        </w:rPr>
        <w:t>,</w:t>
      </w:r>
      <w:r w:rsidR="00F2155B">
        <w:rPr>
          <w:sz w:val="24"/>
          <w:szCs w:val="24"/>
        </w:rPr>
        <w:t xml:space="preserve"> que considerava como receita bruta a t</w:t>
      </w:r>
      <w:r w:rsidR="00855DE6">
        <w:rPr>
          <w:sz w:val="24"/>
          <w:szCs w:val="24"/>
        </w:rPr>
        <w:t>otalidade das receitas auferidas pela pessoa jurídica, sendo</w:t>
      </w:r>
      <w:r w:rsidR="00521793">
        <w:rPr>
          <w:sz w:val="24"/>
          <w:szCs w:val="24"/>
        </w:rPr>
        <w:t xml:space="preserve"> irrelevante o tipo de atividade e classificação contábil adotada para essas receitas. </w:t>
      </w:r>
    </w:p>
    <w:p w14:paraId="518D7F01" w14:textId="1FC055A3" w:rsidR="00521793" w:rsidRDefault="00521793" w:rsidP="00F2155B">
      <w:pPr>
        <w:tabs>
          <w:tab w:val="left" w:pos="1276"/>
        </w:tabs>
        <w:spacing w:before="120" w:after="120" w:line="360" w:lineRule="auto"/>
        <w:ind w:firstLine="851"/>
        <w:jc w:val="both"/>
        <w:rPr>
          <w:sz w:val="24"/>
          <w:szCs w:val="24"/>
        </w:rPr>
      </w:pPr>
      <w:r>
        <w:rPr>
          <w:sz w:val="24"/>
          <w:szCs w:val="24"/>
        </w:rPr>
        <w:t>A alteração constitucional admitiu que tais contribuições devidas pelas empresas</w:t>
      </w:r>
      <w:r w:rsidR="00AC2414">
        <w:rPr>
          <w:sz w:val="24"/>
          <w:szCs w:val="24"/>
        </w:rPr>
        <w:t xml:space="preserve"> pudessem ter como fonte, a receita, sendo a </w:t>
      </w:r>
      <w:r w:rsidR="00A330D5">
        <w:rPr>
          <w:sz w:val="24"/>
          <w:szCs w:val="24"/>
        </w:rPr>
        <w:t xml:space="preserve">Lei nº </w:t>
      </w:r>
      <w:r w:rsidR="00AC2414">
        <w:rPr>
          <w:sz w:val="24"/>
          <w:szCs w:val="24"/>
        </w:rPr>
        <w:t>10.833</w:t>
      </w:r>
      <w:r w:rsidR="00F651DD">
        <w:rPr>
          <w:sz w:val="24"/>
          <w:szCs w:val="24"/>
        </w:rPr>
        <w:t>/03</w:t>
      </w:r>
      <w:r w:rsidR="00973053">
        <w:rPr>
          <w:sz w:val="24"/>
          <w:szCs w:val="24"/>
        </w:rPr>
        <w:t xml:space="preserve">, que introduziu a COFINS não cumulativa já foi editada a sombra da Emenda Constitucional nº 20. Neste contexto, as alterações introduzidas pela </w:t>
      </w:r>
      <w:r w:rsidR="00A330D5">
        <w:rPr>
          <w:sz w:val="24"/>
          <w:szCs w:val="24"/>
        </w:rPr>
        <w:t>Lei nº 12.973</w:t>
      </w:r>
      <w:r w:rsidR="00F651DD">
        <w:rPr>
          <w:sz w:val="24"/>
          <w:szCs w:val="24"/>
        </w:rPr>
        <w:t>/14</w:t>
      </w:r>
      <w:r w:rsidR="00A330D5">
        <w:rPr>
          <w:sz w:val="24"/>
          <w:szCs w:val="24"/>
        </w:rPr>
        <w:t xml:space="preserve"> inseriram-se neste contexto constitucional. </w:t>
      </w:r>
    </w:p>
    <w:p w14:paraId="5E88D439" w14:textId="47A45318" w:rsidR="001E37F6" w:rsidRDefault="001E37F6" w:rsidP="00F2155B">
      <w:pPr>
        <w:tabs>
          <w:tab w:val="left" w:pos="1276"/>
        </w:tabs>
        <w:spacing w:before="120" w:after="120" w:line="360" w:lineRule="auto"/>
        <w:ind w:firstLine="851"/>
        <w:jc w:val="both"/>
        <w:rPr>
          <w:sz w:val="24"/>
          <w:szCs w:val="24"/>
        </w:rPr>
      </w:pPr>
      <w:r>
        <w:rPr>
          <w:sz w:val="24"/>
          <w:szCs w:val="24"/>
        </w:rPr>
        <w:t>Assim, a Lei nº 12.973, além de adaptar as normas tributárias aos novos padrões contábeis também alterou diversos conceitos, dentro outros o de receita e faturamento para fins de cálculo de contribuições devidas ao PIS e a COFINS seja no regime cumulativo ou não cumulativo.</w:t>
      </w:r>
    </w:p>
    <w:p w14:paraId="6455BF54" w14:textId="35B3FABE" w:rsidR="00455709" w:rsidRDefault="00455709" w:rsidP="00F2155B">
      <w:pPr>
        <w:tabs>
          <w:tab w:val="left" w:pos="1276"/>
        </w:tabs>
        <w:spacing w:before="120" w:after="120" w:line="360" w:lineRule="auto"/>
        <w:ind w:firstLine="851"/>
        <w:jc w:val="both"/>
        <w:rPr>
          <w:sz w:val="24"/>
          <w:szCs w:val="24"/>
        </w:rPr>
      </w:pPr>
      <w:r>
        <w:rPr>
          <w:sz w:val="24"/>
          <w:szCs w:val="24"/>
        </w:rPr>
        <w:lastRenderedPageBreak/>
        <w:t>O art. 12 do Decreto Lei nº 1</w:t>
      </w:r>
      <w:r w:rsidR="00D455EF">
        <w:rPr>
          <w:sz w:val="24"/>
          <w:szCs w:val="24"/>
        </w:rPr>
        <w:t>.</w:t>
      </w:r>
      <w:r>
        <w:rPr>
          <w:sz w:val="24"/>
          <w:szCs w:val="24"/>
        </w:rPr>
        <w:t>598</w:t>
      </w:r>
      <w:r w:rsidR="0040576E">
        <w:rPr>
          <w:sz w:val="24"/>
          <w:szCs w:val="24"/>
        </w:rPr>
        <w:t>/77</w:t>
      </w:r>
      <w:r>
        <w:rPr>
          <w:sz w:val="24"/>
          <w:szCs w:val="24"/>
        </w:rPr>
        <w:t xml:space="preserve">, também foi objeto pelo artigo 2º da mesma </w:t>
      </w:r>
      <w:r w:rsidR="00C227A4">
        <w:rPr>
          <w:sz w:val="24"/>
          <w:szCs w:val="24"/>
        </w:rPr>
        <w:t>Lei nº 12.973</w:t>
      </w:r>
      <w:r w:rsidR="00D455EF">
        <w:rPr>
          <w:sz w:val="24"/>
          <w:szCs w:val="24"/>
        </w:rPr>
        <w:t>/14</w:t>
      </w:r>
      <w:r w:rsidR="00C227A4">
        <w:rPr>
          <w:sz w:val="24"/>
          <w:szCs w:val="24"/>
        </w:rPr>
        <w:t>, passando a ter a seguinte redação</w:t>
      </w:r>
      <w:r w:rsidR="00D455EF">
        <w:rPr>
          <w:sz w:val="24"/>
          <w:szCs w:val="24"/>
        </w:rPr>
        <w:t>:</w:t>
      </w:r>
      <w:r w:rsidR="00C227A4">
        <w:rPr>
          <w:sz w:val="24"/>
          <w:szCs w:val="24"/>
        </w:rPr>
        <w:t xml:space="preserve"> </w:t>
      </w:r>
    </w:p>
    <w:p w14:paraId="75950669" w14:textId="77777777" w:rsidR="0040576E" w:rsidRPr="00D455EF" w:rsidRDefault="0040576E" w:rsidP="00D455EF">
      <w:pPr>
        <w:tabs>
          <w:tab w:val="left" w:pos="1276"/>
        </w:tabs>
        <w:ind w:left="2268"/>
        <w:jc w:val="both"/>
        <w:rPr>
          <w:i/>
          <w:iCs/>
          <w:sz w:val="22"/>
          <w:szCs w:val="22"/>
        </w:rPr>
      </w:pPr>
      <w:r w:rsidRPr="00D455EF">
        <w:rPr>
          <w:i/>
          <w:iCs/>
          <w:sz w:val="22"/>
          <w:szCs w:val="22"/>
        </w:rPr>
        <w:t xml:space="preserve">Art. 12. A </w:t>
      </w:r>
      <w:r w:rsidRPr="00D455EF">
        <w:rPr>
          <w:b/>
          <w:bCs/>
          <w:i/>
          <w:iCs/>
          <w:sz w:val="22"/>
          <w:szCs w:val="22"/>
          <w:u w:val="single"/>
        </w:rPr>
        <w:t>receita bruta compreende</w:t>
      </w:r>
      <w:r w:rsidRPr="00D455EF">
        <w:rPr>
          <w:i/>
          <w:iCs/>
          <w:sz w:val="22"/>
          <w:szCs w:val="22"/>
        </w:rPr>
        <w:t>: (Redação dada pela Lei nº 12.973, de 2014) (Vigência)</w:t>
      </w:r>
    </w:p>
    <w:p w14:paraId="7123EAA5" w14:textId="77777777" w:rsidR="0040576E" w:rsidRPr="00D455EF" w:rsidRDefault="0040576E" w:rsidP="00D455EF">
      <w:pPr>
        <w:tabs>
          <w:tab w:val="left" w:pos="1276"/>
        </w:tabs>
        <w:ind w:left="2268"/>
        <w:jc w:val="both"/>
        <w:rPr>
          <w:i/>
          <w:iCs/>
          <w:sz w:val="22"/>
          <w:szCs w:val="22"/>
        </w:rPr>
      </w:pPr>
      <w:r w:rsidRPr="00D455EF">
        <w:rPr>
          <w:i/>
          <w:iCs/>
          <w:sz w:val="22"/>
          <w:szCs w:val="22"/>
        </w:rPr>
        <w:t xml:space="preserve">I - </w:t>
      </w:r>
      <w:proofErr w:type="gramStart"/>
      <w:r w:rsidRPr="00D455EF">
        <w:rPr>
          <w:b/>
          <w:bCs/>
          <w:i/>
          <w:iCs/>
          <w:sz w:val="22"/>
          <w:szCs w:val="22"/>
        </w:rPr>
        <w:t>o</w:t>
      </w:r>
      <w:proofErr w:type="gramEnd"/>
      <w:r w:rsidRPr="00D455EF">
        <w:rPr>
          <w:b/>
          <w:bCs/>
          <w:i/>
          <w:iCs/>
          <w:sz w:val="22"/>
          <w:szCs w:val="22"/>
        </w:rPr>
        <w:t xml:space="preserve"> produto da venda de bens nas operações de conta própria</w:t>
      </w:r>
      <w:r w:rsidRPr="00D455EF">
        <w:rPr>
          <w:i/>
          <w:iCs/>
          <w:sz w:val="22"/>
          <w:szCs w:val="22"/>
        </w:rPr>
        <w:t>; (Incluído pela Lei nº 12.973, de 2014) (Vigência)</w:t>
      </w:r>
    </w:p>
    <w:p w14:paraId="09EDA991" w14:textId="77777777" w:rsidR="0040576E" w:rsidRPr="00D455EF" w:rsidRDefault="0040576E" w:rsidP="00D455EF">
      <w:pPr>
        <w:tabs>
          <w:tab w:val="left" w:pos="1276"/>
        </w:tabs>
        <w:ind w:left="2268"/>
        <w:jc w:val="both"/>
        <w:rPr>
          <w:i/>
          <w:iCs/>
          <w:sz w:val="22"/>
          <w:szCs w:val="22"/>
        </w:rPr>
      </w:pPr>
      <w:r w:rsidRPr="00D455EF">
        <w:rPr>
          <w:i/>
          <w:iCs/>
          <w:sz w:val="22"/>
          <w:szCs w:val="22"/>
        </w:rPr>
        <w:t xml:space="preserve">II - </w:t>
      </w:r>
      <w:proofErr w:type="gramStart"/>
      <w:r w:rsidRPr="00D455EF">
        <w:rPr>
          <w:b/>
          <w:bCs/>
          <w:i/>
          <w:iCs/>
          <w:sz w:val="22"/>
          <w:szCs w:val="22"/>
        </w:rPr>
        <w:t>o</w:t>
      </w:r>
      <w:proofErr w:type="gramEnd"/>
      <w:r w:rsidRPr="00D455EF">
        <w:rPr>
          <w:b/>
          <w:bCs/>
          <w:i/>
          <w:iCs/>
          <w:sz w:val="22"/>
          <w:szCs w:val="22"/>
        </w:rPr>
        <w:t xml:space="preserve"> preço da prestação de serviços em geral</w:t>
      </w:r>
      <w:r w:rsidRPr="00D455EF">
        <w:rPr>
          <w:i/>
          <w:iCs/>
          <w:sz w:val="22"/>
          <w:szCs w:val="22"/>
        </w:rPr>
        <w:t>; (Incluído pela Lei nº 12.973, de 2014) (Vigência)</w:t>
      </w:r>
    </w:p>
    <w:p w14:paraId="7D8EC942" w14:textId="77777777" w:rsidR="0040576E" w:rsidRPr="00D455EF" w:rsidRDefault="0040576E" w:rsidP="00D455EF">
      <w:pPr>
        <w:tabs>
          <w:tab w:val="left" w:pos="1276"/>
        </w:tabs>
        <w:ind w:left="2268"/>
        <w:jc w:val="both"/>
        <w:rPr>
          <w:i/>
          <w:iCs/>
          <w:sz w:val="22"/>
          <w:szCs w:val="22"/>
        </w:rPr>
      </w:pPr>
      <w:r w:rsidRPr="00D455EF">
        <w:rPr>
          <w:i/>
          <w:iCs/>
          <w:sz w:val="22"/>
          <w:szCs w:val="22"/>
        </w:rPr>
        <w:t xml:space="preserve">III - </w:t>
      </w:r>
      <w:r w:rsidRPr="00D455EF">
        <w:rPr>
          <w:b/>
          <w:bCs/>
          <w:i/>
          <w:iCs/>
          <w:sz w:val="22"/>
          <w:szCs w:val="22"/>
        </w:rPr>
        <w:t>o resultado auferido nas operações de conta alheia</w:t>
      </w:r>
      <w:r w:rsidRPr="00D455EF">
        <w:rPr>
          <w:i/>
          <w:iCs/>
          <w:sz w:val="22"/>
          <w:szCs w:val="22"/>
        </w:rPr>
        <w:t>; e (Incluído pela Lei nº 12.973, de 2014) (Vigência)</w:t>
      </w:r>
    </w:p>
    <w:p w14:paraId="201F931B" w14:textId="531AC15C" w:rsidR="0040576E" w:rsidRPr="00D02BA8" w:rsidRDefault="0040576E" w:rsidP="00D02BA8">
      <w:pPr>
        <w:tabs>
          <w:tab w:val="left" w:pos="1276"/>
        </w:tabs>
        <w:ind w:left="2268"/>
        <w:jc w:val="both"/>
        <w:rPr>
          <w:i/>
          <w:iCs/>
          <w:sz w:val="22"/>
          <w:szCs w:val="22"/>
        </w:rPr>
      </w:pPr>
      <w:r w:rsidRPr="00D455EF">
        <w:rPr>
          <w:i/>
          <w:iCs/>
          <w:sz w:val="22"/>
          <w:szCs w:val="22"/>
        </w:rPr>
        <w:t xml:space="preserve">IV - </w:t>
      </w:r>
      <w:proofErr w:type="gramStart"/>
      <w:r w:rsidRPr="00D455EF">
        <w:rPr>
          <w:b/>
          <w:bCs/>
          <w:i/>
          <w:iCs/>
          <w:sz w:val="22"/>
          <w:szCs w:val="22"/>
        </w:rPr>
        <w:t>as</w:t>
      </w:r>
      <w:proofErr w:type="gramEnd"/>
      <w:r w:rsidRPr="00D455EF">
        <w:rPr>
          <w:b/>
          <w:bCs/>
          <w:i/>
          <w:iCs/>
          <w:sz w:val="22"/>
          <w:szCs w:val="22"/>
        </w:rPr>
        <w:t xml:space="preserve"> receitas da atividade ou objeto principal da pessoa jurídica não compreendidas nos incisos I a III</w:t>
      </w:r>
      <w:r w:rsidRPr="00D455EF">
        <w:rPr>
          <w:i/>
          <w:iCs/>
          <w:sz w:val="22"/>
          <w:szCs w:val="22"/>
        </w:rPr>
        <w:t>. (Incluído pela Lei nº 12.973, de 2014) (Vigência)</w:t>
      </w:r>
    </w:p>
    <w:p w14:paraId="2190B36D" w14:textId="77777777" w:rsidR="0040576E" w:rsidRDefault="0040576E" w:rsidP="00ED43E2">
      <w:pPr>
        <w:tabs>
          <w:tab w:val="left" w:pos="1276"/>
        </w:tabs>
        <w:spacing w:before="120" w:after="120" w:line="360" w:lineRule="auto"/>
        <w:ind w:firstLine="851"/>
        <w:jc w:val="both"/>
        <w:rPr>
          <w:sz w:val="24"/>
          <w:szCs w:val="24"/>
        </w:rPr>
      </w:pPr>
    </w:p>
    <w:p w14:paraId="3FE5A52D" w14:textId="77777777" w:rsidR="00FF2460" w:rsidRDefault="00F651DD" w:rsidP="00FF2460">
      <w:pPr>
        <w:tabs>
          <w:tab w:val="left" w:pos="1276"/>
        </w:tabs>
        <w:spacing w:before="120" w:after="120" w:line="360" w:lineRule="auto"/>
        <w:ind w:firstLine="851"/>
        <w:jc w:val="both"/>
        <w:rPr>
          <w:sz w:val="24"/>
          <w:szCs w:val="24"/>
        </w:rPr>
      </w:pPr>
      <w:r>
        <w:rPr>
          <w:sz w:val="24"/>
          <w:szCs w:val="24"/>
        </w:rPr>
        <w:t>Destaca-se que a Lei nº 12.973/</w:t>
      </w:r>
      <w:r w:rsidR="00287D0C">
        <w:rPr>
          <w:sz w:val="24"/>
          <w:szCs w:val="24"/>
        </w:rPr>
        <w:t>14 inclui como receita bruta as receitas da atividade ou objeto principal que não estejam compreendidas nas hipóteses anteriores. Desse conjunto de mudanças depreende-se que o faturamento para fins de contribuições devidas ao PIS e a COFINS, pelas entidades</w:t>
      </w:r>
      <w:r w:rsidR="002B4E06">
        <w:rPr>
          <w:sz w:val="24"/>
          <w:szCs w:val="24"/>
        </w:rPr>
        <w:t xml:space="preserve"> enquadradas no regime cumulativo de apuração (Lei nº 9.718/98), é igual a receita bruta definida no art. 12 do Decreto Lei nº 1.598</w:t>
      </w:r>
      <w:r w:rsidR="00596E12">
        <w:rPr>
          <w:sz w:val="24"/>
          <w:szCs w:val="24"/>
        </w:rPr>
        <w:t>/77.</w:t>
      </w:r>
    </w:p>
    <w:p w14:paraId="52ACB5A2" w14:textId="79D6C8E3" w:rsidR="00731098" w:rsidRPr="001E0DB3" w:rsidRDefault="00731098" w:rsidP="00FF2460">
      <w:pPr>
        <w:tabs>
          <w:tab w:val="left" w:pos="1276"/>
        </w:tabs>
        <w:spacing w:before="120" w:after="120" w:line="360" w:lineRule="auto"/>
        <w:ind w:firstLine="851"/>
        <w:jc w:val="both"/>
        <w:rPr>
          <w:sz w:val="24"/>
          <w:szCs w:val="24"/>
        </w:rPr>
      </w:pPr>
      <w:r w:rsidRPr="001E0DB3">
        <w:rPr>
          <w:sz w:val="24"/>
          <w:szCs w:val="24"/>
        </w:rPr>
        <w:t xml:space="preserve">Segundo Paulo de Barros Carvalho, </w:t>
      </w:r>
      <w:r w:rsidRPr="001E0DB3">
        <w:rPr>
          <w:i/>
          <w:iCs/>
          <w:sz w:val="24"/>
          <w:szCs w:val="24"/>
        </w:rPr>
        <w:t xml:space="preserve">“a receita bruta não se identifica, também, com a entrada financeira, sendo </w:t>
      </w:r>
      <w:proofErr w:type="spellStart"/>
      <w:r w:rsidRPr="001E0DB3">
        <w:rPr>
          <w:i/>
          <w:iCs/>
          <w:sz w:val="24"/>
          <w:szCs w:val="24"/>
        </w:rPr>
        <w:t>esta</w:t>
      </w:r>
      <w:proofErr w:type="spellEnd"/>
      <w:r w:rsidRPr="001E0DB3">
        <w:rPr>
          <w:i/>
          <w:iCs/>
          <w:sz w:val="24"/>
          <w:szCs w:val="24"/>
        </w:rPr>
        <w:t xml:space="preserve"> ainda mais abrangente que aquela</w:t>
      </w:r>
      <w:r w:rsidRPr="00D37D25">
        <w:rPr>
          <w:rStyle w:val="Refdenotaderodap"/>
          <w:i/>
          <w:iCs/>
          <w:sz w:val="24"/>
          <w:szCs w:val="24"/>
        </w:rPr>
        <w:footnoteReference w:id="3"/>
      </w:r>
      <w:r w:rsidRPr="001E0DB3">
        <w:rPr>
          <w:i/>
          <w:iCs/>
          <w:sz w:val="24"/>
          <w:szCs w:val="24"/>
        </w:rPr>
        <w:t>”</w:t>
      </w:r>
      <w:r w:rsidRPr="001E0DB3">
        <w:rPr>
          <w:sz w:val="24"/>
          <w:szCs w:val="24"/>
        </w:rPr>
        <w:t>.</w:t>
      </w:r>
    </w:p>
    <w:p w14:paraId="63C97C2B" w14:textId="03C6EBB0" w:rsidR="00ED7C04" w:rsidRPr="00ED7C04" w:rsidRDefault="00A53121" w:rsidP="00ED7C04">
      <w:pPr>
        <w:pStyle w:val="Recuodecorpodetexto2"/>
        <w:numPr>
          <w:ilvl w:val="0"/>
          <w:numId w:val="15"/>
        </w:numPr>
        <w:tabs>
          <w:tab w:val="clear" w:pos="720"/>
          <w:tab w:val="num" w:pos="1276"/>
        </w:tabs>
        <w:spacing w:before="120" w:after="0" w:line="240" w:lineRule="auto"/>
        <w:ind w:left="1276" w:hanging="425"/>
        <w:jc w:val="both"/>
        <w:rPr>
          <w:b/>
          <w:bCs/>
          <w:sz w:val="24"/>
          <w:szCs w:val="24"/>
        </w:rPr>
      </w:pPr>
      <w:r w:rsidRPr="008E127C">
        <w:rPr>
          <w:b/>
          <w:bCs/>
          <w:sz w:val="24"/>
          <w:szCs w:val="24"/>
        </w:rPr>
        <w:t xml:space="preserve">As receitas auferidas pelas cooperativas estão sujeitas à incidência destes tributos? Considere o </w:t>
      </w:r>
      <w:hyperlink r:id="rId17" w:history="1">
        <w:r w:rsidRPr="008E127C">
          <w:rPr>
            <w:rStyle w:val="Hyperlink"/>
            <w:b/>
            <w:bCs/>
            <w:sz w:val="24"/>
            <w:szCs w:val="24"/>
          </w:rPr>
          <w:t>RE 672215 RG</w:t>
        </w:r>
      </w:hyperlink>
      <w:r w:rsidRPr="008E127C">
        <w:rPr>
          <w:b/>
          <w:bCs/>
          <w:sz w:val="24"/>
          <w:szCs w:val="24"/>
        </w:rPr>
        <w:t>.</w:t>
      </w:r>
    </w:p>
    <w:p w14:paraId="426E91EE" w14:textId="575E2D9B" w:rsidR="00CF49F6" w:rsidRDefault="00ED7C04" w:rsidP="00CF49F6">
      <w:pPr>
        <w:tabs>
          <w:tab w:val="left" w:pos="1276"/>
        </w:tabs>
        <w:spacing w:before="120" w:after="120" w:line="360" w:lineRule="auto"/>
        <w:jc w:val="both"/>
        <w:rPr>
          <w:sz w:val="24"/>
          <w:szCs w:val="24"/>
        </w:rPr>
      </w:pPr>
      <w:r>
        <w:rPr>
          <w:sz w:val="24"/>
          <w:szCs w:val="24"/>
        </w:rPr>
        <w:tab/>
        <w:t>Não, as receitas auferidas pelas cooperativas não estão sujeitas a incidência do PIS</w:t>
      </w:r>
      <w:r w:rsidR="00F10469">
        <w:rPr>
          <w:sz w:val="24"/>
          <w:szCs w:val="24"/>
        </w:rPr>
        <w:t xml:space="preserve"> </w:t>
      </w:r>
      <w:r w:rsidR="00DA35B4" w:rsidRPr="00DA35B4">
        <w:rPr>
          <w:sz w:val="24"/>
          <w:szCs w:val="24"/>
        </w:rPr>
        <w:t>(Programa de Integração Social)</w:t>
      </w:r>
      <w:r>
        <w:rPr>
          <w:sz w:val="24"/>
          <w:szCs w:val="24"/>
        </w:rPr>
        <w:t xml:space="preserve"> e da COFINS</w:t>
      </w:r>
      <w:r w:rsidR="00F10469">
        <w:rPr>
          <w:sz w:val="24"/>
          <w:szCs w:val="24"/>
        </w:rPr>
        <w:t xml:space="preserve"> (</w:t>
      </w:r>
      <w:r w:rsidR="00F10469" w:rsidRPr="00F10469">
        <w:rPr>
          <w:sz w:val="24"/>
          <w:szCs w:val="24"/>
        </w:rPr>
        <w:t>Contribuição para o Financiamento da Seguridade Social)</w:t>
      </w:r>
      <w:r w:rsidR="009A15AE">
        <w:rPr>
          <w:sz w:val="24"/>
          <w:szCs w:val="24"/>
        </w:rPr>
        <w:t xml:space="preserve">, uma vez que </w:t>
      </w:r>
      <w:r w:rsidR="00FF2460">
        <w:rPr>
          <w:sz w:val="24"/>
          <w:szCs w:val="24"/>
        </w:rPr>
        <w:t>elas</w:t>
      </w:r>
      <w:r w:rsidR="009A15AE">
        <w:rPr>
          <w:sz w:val="24"/>
          <w:szCs w:val="24"/>
        </w:rPr>
        <w:t xml:space="preserve"> </w:t>
      </w:r>
      <w:r w:rsidR="00CF49F6">
        <w:rPr>
          <w:sz w:val="24"/>
          <w:szCs w:val="24"/>
        </w:rPr>
        <w:t>n</w:t>
      </w:r>
      <w:r w:rsidR="00CF49F6" w:rsidRPr="00CF49F6">
        <w:rPr>
          <w:sz w:val="24"/>
          <w:szCs w:val="24"/>
        </w:rPr>
        <w:t>ão se enquadram no conceito de "receita bruta" de uma empresa, pois representam ganhos financeiros decorrentes de aplicações de capital e não de atividades operacionais.</w:t>
      </w:r>
    </w:p>
    <w:p w14:paraId="7485591E" w14:textId="32867DA6" w:rsidR="001E0DB3" w:rsidRDefault="001E0DB3" w:rsidP="00CF49F6">
      <w:pPr>
        <w:tabs>
          <w:tab w:val="left" w:pos="1276"/>
        </w:tabs>
        <w:spacing w:before="120" w:after="120" w:line="360" w:lineRule="auto"/>
        <w:jc w:val="both"/>
        <w:rPr>
          <w:sz w:val="24"/>
          <w:szCs w:val="24"/>
        </w:rPr>
      </w:pPr>
      <w:r>
        <w:rPr>
          <w:sz w:val="24"/>
          <w:szCs w:val="24"/>
        </w:rPr>
        <w:tab/>
      </w:r>
      <w:r w:rsidR="00CF49F6" w:rsidRPr="00CF49F6">
        <w:rPr>
          <w:sz w:val="24"/>
          <w:szCs w:val="24"/>
        </w:rPr>
        <w:t xml:space="preserve">O Recurso Extraordinário (RE) 672215 RG foi um caso julgado pelo Supremo Tribunal Federal (STF) que teve como objeto a discussão sobre a inclusão das </w:t>
      </w:r>
      <w:r w:rsidR="00CF49F6" w:rsidRPr="00CF49F6">
        <w:rPr>
          <w:sz w:val="24"/>
          <w:szCs w:val="24"/>
        </w:rPr>
        <w:lastRenderedPageBreak/>
        <w:t>receitas financeiras na base de cálculo da Contribuição para o PIS e da COFINS. O RE 672215 RG foi relevante para definir se as receitas financeiras deveriam ser consideradas no cálculo dessas contribuições.</w:t>
      </w:r>
    </w:p>
    <w:p w14:paraId="781D0AC9" w14:textId="19EF94AE" w:rsidR="001E0DB3" w:rsidRDefault="001E0DB3" w:rsidP="00CF49F6">
      <w:pPr>
        <w:tabs>
          <w:tab w:val="left" w:pos="1276"/>
        </w:tabs>
        <w:spacing w:before="120" w:after="120" w:line="360" w:lineRule="auto"/>
        <w:jc w:val="both"/>
        <w:rPr>
          <w:sz w:val="24"/>
          <w:szCs w:val="24"/>
        </w:rPr>
      </w:pPr>
      <w:r>
        <w:rPr>
          <w:sz w:val="24"/>
          <w:szCs w:val="24"/>
        </w:rPr>
        <w:tab/>
      </w:r>
      <w:r w:rsidR="00CF49F6" w:rsidRPr="00CF49F6">
        <w:rPr>
          <w:sz w:val="24"/>
          <w:szCs w:val="24"/>
        </w:rPr>
        <w:t>A discussão principal neste caso girava em torno da interpretação do conceito de "receita bruta" para fins de incidência da Contribuição para o PIS e da COFINS. As receitas financeiras, como juros sobre aplicações financeiras, estavam sendo incluídas na base de cálculo desses tributos pelas autoridades fiscais, aumentando a carga tributária das empresas.</w:t>
      </w:r>
    </w:p>
    <w:p w14:paraId="72C6C1E8" w14:textId="5C78F43E" w:rsidR="00CF4C45" w:rsidRDefault="001E0DB3" w:rsidP="00E3787C">
      <w:pPr>
        <w:tabs>
          <w:tab w:val="left" w:pos="1276"/>
        </w:tabs>
        <w:spacing w:before="120" w:after="120" w:line="360" w:lineRule="auto"/>
        <w:jc w:val="both"/>
        <w:rPr>
          <w:sz w:val="24"/>
          <w:szCs w:val="24"/>
        </w:rPr>
      </w:pPr>
      <w:r>
        <w:rPr>
          <w:sz w:val="24"/>
          <w:szCs w:val="24"/>
        </w:rPr>
        <w:tab/>
      </w:r>
      <w:r w:rsidR="00CF49F6" w:rsidRPr="00CF49F6">
        <w:rPr>
          <w:sz w:val="24"/>
          <w:szCs w:val="24"/>
        </w:rPr>
        <w:t>No entanto, o STF analisou o caso e decidiu, por maioria de votos, que as receitas financeiras não deveriam ser consideradas no cálculo da base de cálculo da Contribuição para o PIS e da COFINS. A justificativa para essa decisão foi que as receitas financeiras não se enquadram no conceito de "receita bruta" de uma empresa, pois representam ganhos financeiros decorrentes de aplicações de capital e não de atividades operacionais.</w:t>
      </w:r>
    </w:p>
    <w:p w14:paraId="2B3BC945" w14:textId="77EF81CA" w:rsidR="00E55A87" w:rsidRPr="00E3787C" w:rsidRDefault="00CF4C45" w:rsidP="00E3787C">
      <w:pPr>
        <w:tabs>
          <w:tab w:val="left" w:pos="1276"/>
        </w:tabs>
        <w:spacing w:before="120" w:after="120" w:line="360" w:lineRule="auto"/>
        <w:jc w:val="both"/>
        <w:rPr>
          <w:sz w:val="24"/>
          <w:szCs w:val="24"/>
        </w:rPr>
      </w:pPr>
      <w:r>
        <w:rPr>
          <w:sz w:val="24"/>
          <w:szCs w:val="24"/>
        </w:rPr>
        <w:tab/>
      </w:r>
      <w:r w:rsidR="00CF49F6" w:rsidRPr="00CF49F6">
        <w:rPr>
          <w:sz w:val="24"/>
          <w:szCs w:val="24"/>
        </w:rPr>
        <w:t>Portanto, o RE 672215 RG estabeleceu um importante precedente jurisprudencial que excluiu as receitas financeiras da base de cálculo da Contribuição para o PIS e da COFINS, impactando diretamente a forma como esses tributos são calculados e reduzindo a carga tributária para as empresas em relação a esse tipo específico de receita.</w:t>
      </w:r>
    </w:p>
    <w:p w14:paraId="76AA9EA4" w14:textId="0FEF9F79" w:rsidR="00A53121" w:rsidRDefault="00A53121" w:rsidP="00375742">
      <w:pPr>
        <w:pStyle w:val="Recuodecorpodetexto2"/>
        <w:numPr>
          <w:ilvl w:val="0"/>
          <w:numId w:val="15"/>
        </w:numPr>
        <w:tabs>
          <w:tab w:val="clear" w:pos="720"/>
          <w:tab w:val="num" w:pos="1276"/>
        </w:tabs>
        <w:spacing w:before="120" w:after="0" w:line="240" w:lineRule="auto"/>
        <w:ind w:left="1276" w:hanging="425"/>
        <w:jc w:val="both"/>
        <w:rPr>
          <w:b/>
          <w:bCs/>
          <w:sz w:val="24"/>
          <w:szCs w:val="24"/>
        </w:rPr>
      </w:pPr>
      <w:r w:rsidRPr="008E127C">
        <w:rPr>
          <w:b/>
          <w:bCs/>
          <w:sz w:val="24"/>
          <w:szCs w:val="24"/>
        </w:rPr>
        <w:t xml:space="preserve">O ICMS pode ser incluído na base de cálculo desses tributos? Analisar o </w:t>
      </w:r>
      <w:hyperlink r:id="rId18" w:history="1">
        <w:r w:rsidRPr="008E127C">
          <w:rPr>
            <w:rStyle w:val="Hyperlink"/>
            <w:b/>
            <w:bCs/>
            <w:sz w:val="24"/>
            <w:szCs w:val="24"/>
          </w:rPr>
          <w:t>RE 606107 RG</w:t>
        </w:r>
      </w:hyperlink>
      <w:r w:rsidRPr="008E127C">
        <w:rPr>
          <w:b/>
          <w:bCs/>
          <w:sz w:val="24"/>
          <w:szCs w:val="24"/>
        </w:rPr>
        <w:t>.</w:t>
      </w:r>
    </w:p>
    <w:p w14:paraId="486B8A08" w14:textId="273EDBEC" w:rsidR="00CF4C45" w:rsidRDefault="00D613FF" w:rsidP="00171C1C">
      <w:pPr>
        <w:tabs>
          <w:tab w:val="left" w:pos="1276"/>
        </w:tabs>
        <w:spacing w:before="120" w:after="120" w:line="360" w:lineRule="auto"/>
        <w:ind w:firstLine="1276"/>
        <w:jc w:val="both"/>
        <w:rPr>
          <w:sz w:val="24"/>
          <w:szCs w:val="24"/>
        </w:rPr>
      </w:pPr>
      <w:r>
        <w:rPr>
          <w:sz w:val="24"/>
          <w:szCs w:val="24"/>
        </w:rPr>
        <w:t xml:space="preserve">Não, o </w:t>
      </w:r>
      <w:r w:rsidR="00171C1C" w:rsidRPr="00171C1C">
        <w:rPr>
          <w:sz w:val="24"/>
          <w:szCs w:val="24"/>
        </w:rPr>
        <w:t>Imposto sobre Operações relativas à Circulação de Mercadorias e sobre Prestações de Serviços de Transporte Interestadual e Intermunicipal e de Comunicação (ICMS)</w:t>
      </w:r>
      <w:r w:rsidR="00171C1C">
        <w:rPr>
          <w:sz w:val="24"/>
          <w:szCs w:val="24"/>
        </w:rPr>
        <w:t xml:space="preserve"> </w:t>
      </w:r>
      <w:r>
        <w:rPr>
          <w:sz w:val="24"/>
          <w:szCs w:val="24"/>
        </w:rPr>
        <w:t xml:space="preserve">não pode ser incluído </w:t>
      </w:r>
      <w:r w:rsidR="00BA2FD1">
        <w:rPr>
          <w:sz w:val="24"/>
          <w:szCs w:val="24"/>
        </w:rPr>
        <w:t>na base de cálculo do PIS e da COFINS</w:t>
      </w:r>
      <w:r w:rsidR="00BD0B98">
        <w:rPr>
          <w:sz w:val="24"/>
          <w:szCs w:val="24"/>
        </w:rPr>
        <w:t xml:space="preserve">, por distorcer o conceito de “receita bruta”, </w:t>
      </w:r>
      <w:r w:rsidR="00B0091C">
        <w:rPr>
          <w:sz w:val="24"/>
          <w:szCs w:val="24"/>
        </w:rPr>
        <w:t>que é justamente a base de cálculo</w:t>
      </w:r>
      <w:r w:rsidR="00BA2FD1">
        <w:rPr>
          <w:sz w:val="24"/>
          <w:szCs w:val="24"/>
        </w:rPr>
        <w:t xml:space="preserve"> </w:t>
      </w:r>
      <w:r w:rsidR="000E5A68" w:rsidRPr="000E5A68">
        <w:rPr>
          <w:sz w:val="24"/>
          <w:szCs w:val="24"/>
        </w:rPr>
        <w:t xml:space="preserve">da Contribuição para o PIS e da COFINS. </w:t>
      </w:r>
    </w:p>
    <w:p w14:paraId="184FA13D" w14:textId="3C397C5B" w:rsidR="00DD48CD" w:rsidRDefault="00CF4C45" w:rsidP="00CF4C45">
      <w:pPr>
        <w:tabs>
          <w:tab w:val="left" w:pos="1276"/>
        </w:tabs>
        <w:spacing w:before="120" w:after="120" w:line="360" w:lineRule="auto"/>
        <w:jc w:val="both"/>
        <w:rPr>
          <w:sz w:val="24"/>
          <w:szCs w:val="24"/>
        </w:rPr>
      </w:pPr>
      <w:r>
        <w:rPr>
          <w:sz w:val="24"/>
          <w:szCs w:val="24"/>
        </w:rPr>
        <w:tab/>
      </w:r>
      <w:r w:rsidR="000E5A68">
        <w:rPr>
          <w:sz w:val="24"/>
          <w:szCs w:val="24"/>
        </w:rPr>
        <w:t>O</w:t>
      </w:r>
      <w:r w:rsidR="0072643E">
        <w:rPr>
          <w:sz w:val="24"/>
          <w:szCs w:val="24"/>
        </w:rPr>
        <w:t xml:space="preserve"> </w:t>
      </w:r>
      <w:r w:rsidRPr="00CF4C45">
        <w:rPr>
          <w:sz w:val="24"/>
          <w:szCs w:val="24"/>
        </w:rPr>
        <w:t>Recurso Extraordinário (RE) 606107 RG julgado pelo Supremo Tribunal Federal (STF) discutiu a inclusão do Imposto sobre Circulação de Mercadorias e Serviços (ICMS) na base de cálculo da Contribuição para o PIS e da COFINS.</w:t>
      </w:r>
    </w:p>
    <w:p w14:paraId="1A3B7860" w14:textId="04649258" w:rsidR="00DD48CD" w:rsidRDefault="00DD48CD" w:rsidP="00976BEE">
      <w:pPr>
        <w:tabs>
          <w:tab w:val="left" w:pos="1276"/>
          <w:tab w:val="left" w:pos="7797"/>
        </w:tabs>
        <w:spacing w:before="120" w:after="120" w:line="360" w:lineRule="auto"/>
        <w:jc w:val="both"/>
        <w:rPr>
          <w:sz w:val="24"/>
          <w:szCs w:val="24"/>
        </w:rPr>
      </w:pPr>
      <w:r>
        <w:rPr>
          <w:sz w:val="24"/>
          <w:szCs w:val="24"/>
        </w:rPr>
        <w:lastRenderedPageBreak/>
        <w:tab/>
      </w:r>
      <w:r w:rsidRPr="00DD48CD">
        <w:rPr>
          <w:sz w:val="24"/>
          <w:szCs w:val="24"/>
        </w:rPr>
        <w:t>Antes do julgamento desse recurso, o entendimento predominante era de que o ICMS deveria ser incluído na base de cálculo dessas contribuições, o que gerava um aumento significativo na carga tributária das empresas.</w:t>
      </w:r>
      <w:r w:rsidR="0002147F">
        <w:rPr>
          <w:sz w:val="24"/>
          <w:szCs w:val="24"/>
        </w:rPr>
        <w:t xml:space="preserve"> </w:t>
      </w:r>
      <w:r w:rsidR="0002147F" w:rsidRPr="0002147F">
        <w:rPr>
          <w:sz w:val="24"/>
          <w:szCs w:val="24"/>
        </w:rPr>
        <w:t>No entanto, o STF, ao analisar o RE 606107 RG, firmou entendimento contrário. A decisão foi no sentido de que o ICMS não integra a base de cálculo da Contribuição para o PIS e da COFINS. O argumento central foi de que o ICMS não constitui receita da empresa, mas sim um valor que é repassado aos estados.</w:t>
      </w:r>
    </w:p>
    <w:p w14:paraId="5E275F39" w14:textId="214EE0EF" w:rsidR="00E55A87" w:rsidRPr="00831CA4" w:rsidRDefault="006A6207" w:rsidP="00831CA4">
      <w:pPr>
        <w:tabs>
          <w:tab w:val="left" w:pos="1276"/>
          <w:tab w:val="left" w:pos="7797"/>
        </w:tabs>
        <w:spacing w:before="120" w:after="120" w:line="360" w:lineRule="auto"/>
        <w:jc w:val="both"/>
        <w:rPr>
          <w:sz w:val="24"/>
          <w:szCs w:val="24"/>
        </w:rPr>
      </w:pPr>
      <w:r>
        <w:rPr>
          <w:sz w:val="24"/>
          <w:szCs w:val="24"/>
        </w:rPr>
        <w:tab/>
      </w:r>
      <w:r w:rsidRPr="006A6207">
        <w:rPr>
          <w:sz w:val="24"/>
          <w:szCs w:val="24"/>
        </w:rPr>
        <w:t xml:space="preserve">Com o objetivo de encerrar definitivamente a discussão sobre o assunto, em 13 de janeiro de 2023, o governo publicou no Diário Oficial da União a Medida Provisória nº 1.159/2023. Essa medida formalmente exclui o </w:t>
      </w:r>
      <w:r w:rsidR="00BF1006">
        <w:rPr>
          <w:sz w:val="24"/>
          <w:szCs w:val="24"/>
        </w:rPr>
        <w:t xml:space="preserve">ICMS </w:t>
      </w:r>
      <w:r w:rsidRPr="006A6207">
        <w:rPr>
          <w:sz w:val="24"/>
          <w:szCs w:val="24"/>
        </w:rPr>
        <w:t xml:space="preserve">da incidência e da base de cálculo dos créditos da PIS e da </w:t>
      </w:r>
      <w:r w:rsidR="004A1DB7">
        <w:rPr>
          <w:sz w:val="24"/>
          <w:szCs w:val="24"/>
        </w:rPr>
        <w:t>COFINS.</w:t>
      </w:r>
    </w:p>
    <w:p w14:paraId="6ED3BE96" w14:textId="34F9FAD5" w:rsidR="00DB0C5E" w:rsidRPr="006C40CF" w:rsidRDefault="00DE1E96" w:rsidP="006C40CF">
      <w:pPr>
        <w:pStyle w:val="Recuodecorpodetexto2"/>
        <w:numPr>
          <w:ilvl w:val="0"/>
          <w:numId w:val="15"/>
        </w:numPr>
        <w:tabs>
          <w:tab w:val="clear" w:pos="720"/>
          <w:tab w:val="num" w:pos="1276"/>
        </w:tabs>
        <w:spacing w:before="120" w:after="0" w:line="240" w:lineRule="auto"/>
        <w:ind w:left="1276" w:hanging="425"/>
        <w:jc w:val="both"/>
        <w:rPr>
          <w:b/>
          <w:bCs/>
          <w:sz w:val="24"/>
          <w:szCs w:val="24"/>
        </w:rPr>
      </w:pPr>
      <w:r w:rsidRPr="008E127C">
        <w:rPr>
          <w:b/>
          <w:bCs/>
          <w:sz w:val="24"/>
          <w:szCs w:val="24"/>
        </w:rPr>
        <w:t>O ISS pode ser incluído na base de cálculo desses tributos?</w:t>
      </w:r>
    </w:p>
    <w:p w14:paraId="0A94F849" w14:textId="01410F90" w:rsidR="00A53121" w:rsidRPr="002831A2" w:rsidRDefault="00142840" w:rsidP="00831CA4">
      <w:pPr>
        <w:tabs>
          <w:tab w:val="left" w:pos="1276"/>
        </w:tabs>
        <w:spacing w:before="120" w:after="120" w:line="360" w:lineRule="auto"/>
        <w:ind w:firstLine="851"/>
        <w:jc w:val="both"/>
        <w:rPr>
          <w:sz w:val="24"/>
          <w:szCs w:val="24"/>
        </w:rPr>
      </w:pPr>
      <w:r>
        <w:rPr>
          <w:sz w:val="24"/>
          <w:szCs w:val="24"/>
        </w:rPr>
        <w:t>Não</w:t>
      </w:r>
      <w:r w:rsidR="00620304">
        <w:rPr>
          <w:sz w:val="24"/>
          <w:szCs w:val="24"/>
        </w:rPr>
        <w:t xml:space="preserve">, o </w:t>
      </w:r>
      <w:r w:rsidR="00831CA4" w:rsidRPr="00831CA4">
        <w:rPr>
          <w:sz w:val="24"/>
          <w:szCs w:val="24"/>
        </w:rPr>
        <w:t>Imposto Sobre Serviços de Qualquer Natureza</w:t>
      </w:r>
      <w:r w:rsidR="00831CA4">
        <w:rPr>
          <w:sz w:val="24"/>
          <w:szCs w:val="24"/>
        </w:rPr>
        <w:t xml:space="preserve"> (ISS)</w:t>
      </w:r>
      <w:r w:rsidR="00620304">
        <w:rPr>
          <w:sz w:val="24"/>
          <w:szCs w:val="24"/>
        </w:rPr>
        <w:t xml:space="preserve"> não pode </w:t>
      </w:r>
      <w:r w:rsidR="00A0463E">
        <w:rPr>
          <w:sz w:val="24"/>
          <w:szCs w:val="24"/>
        </w:rPr>
        <w:t xml:space="preserve">ser incluído na base de cálculo desses tributos. O Tribunal de Justiça do Estado de São Paulo TJ/SP reconheceu em decisão recente </w:t>
      </w:r>
      <w:r w:rsidR="0030019F">
        <w:rPr>
          <w:sz w:val="24"/>
          <w:szCs w:val="24"/>
        </w:rPr>
        <w:t>que o PIS, o COFINS e o ISS não devem integrar a base de cálculo do Imposto sobre Serviços (ISS)</w:t>
      </w:r>
      <w:r w:rsidR="004A1975">
        <w:rPr>
          <w:sz w:val="24"/>
          <w:szCs w:val="24"/>
        </w:rPr>
        <w:t xml:space="preserve">. Assim, se mantidos o PIS, a COFINS e o próprio ISS </w:t>
      </w:r>
      <w:r w:rsidR="00787EE3">
        <w:rPr>
          <w:sz w:val="24"/>
          <w:szCs w:val="24"/>
        </w:rPr>
        <w:t>na base de cálculo do tributo, o resultado seria uma majoração indevida</w:t>
      </w:r>
      <w:r w:rsidR="006C40CF">
        <w:rPr>
          <w:sz w:val="24"/>
          <w:szCs w:val="24"/>
        </w:rPr>
        <w:t xml:space="preserve"> do imposto, pois as contribuições e o próprio ISS não se enquadram como valor cobrado pela prestação de serviços.</w:t>
      </w:r>
    </w:p>
    <w:p w14:paraId="08B68611" w14:textId="3E2ECADC" w:rsidR="00FB313E" w:rsidRPr="002716E7" w:rsidRDefault="00A53121" w:rsidP="009327A4">
      <w:pPr>
        <w:numPr>
          <w:ilvl w:val="0"/>
          <w:numId w:val="11"/>
        </w:numPr>
        <w:tabs>
          <w:tab w:val="clear" w:pos="360"/>
          <w:tab w:val="num" w:pos="426"/>
        </w:tabs>
        <w:spacing w:before="120"/>
        <w:ind w:left="425" w:hanging="425"/>
        <w:jc w:val="both"/>
        <w:rPr>
          <w:b/>
          <w:bCs/>
          <w:sz w:val="24"/>
          <w:szCs w:val="24"/>
        </w:rPr>
      </w:pPr>
      <w:r w:rsidRPr="002716E7">
        <w:rPr>
          <w:b/>
          <w:bCs/>
          <w:sz w:val="24"/>
          <w:szCs w:val="24"/>
        </w:rPr>
        <w:t xml:space="preserve">Quais as implicações jurídicas da </w:t>
      </w:r>
      <w:hyperlink r:id="rId19" w:history="1">
        <w:r w:rsidRPr="002716E7">
          <w:rPr>
            <w:rStyle w:val="Hyperlink"/>
            <w:b/>
            <w:bCs/>
            <w:sz w:val="24"/>
            <w:szCs w:val="24"/>
          </w:rPr>
          <w:t>Lei 12.973/14</w:t>
        </w:r>
      </w:hyperlink>
      <w:r w:rsidRPr="002716E7">
        <w:rPr>
          <w:b/>
          <w:bCs/>
          <w:sz w:val="24"/>
          <w:szCs w:val="24"/>
        </w:rPr>
        <w:t xml:space="preserve"> quanto às bases de cálculo da contribuição ao PIS e da COFINS? Responder examinando as bases de cálculo prescritas para o regime cumulativo (</w:t>
      </w:r>
      <w:hyperlink r:id="rId20" w:history="1">
        <w:r w:rsidRPr="002716E7">
          <w:rPr>
            <w:rStyle w:val="Hyperlink"/>
            <w:b/>
            <w:bCs/>
            <w:sz w:val="24"/>
            <w:szCs w:val="24"/>
          </w:rPr>
          <w:t>Lei 9.718/98</w:t>
        </w:r>
      </w:hyperlink>
      <w:r w:rsidRPr="002716E7">
        <w:rPr>
          <w:b/>
          <w:bCs/>
          <w:sz w:val="24"/>
          <w:szCs w:val="24"/>
        </w:rPr>
        <w:t xml:space="preserve">) e para o não-cumulativo (Leis </w:t>
      </w:r>
      <w:proofErr w:type="spellStart"/>
      <w:r w:rsidRPr="002716E7">
        <w:rPr>
          <w:b/>
          <w:bCs/>
          <w:sz w:val="24"/>
          <w:szCs w:val="24"/>
        </w:rPr>
        <w:t>nºs</w:t>
      </w:r>
      <w:proofErr w:type="spellEnd"/>
      <w:r w:rsidRPr="002716E7">
        <w:rPr>
          <w:b/>
          <w:bCs/>
          <w:sz w:val="24"/>
          <w:szCs w:val="24"/>
        </w:rPr>
        <w:t xml:space="preserve"> </w:t>
      </w:r>
      <w:hyperlink r:id="rId21" w:history="1">
        <w:r w:rsidRPr="002716E7">
          <w:rPr>
            <w:rStyle w:val="Hyperlink"/>
            <w:b/>
            <w:bCs/>
            <w:sz w:val="24"/>
            <w:szCs w:val="24"/>
          </w:rPr>
          <w:t>10.637/02</w:t>
        </w:r>
      </w:hyperlink>
      <w:r w:rsidRPr="002716E7">
        <w:rPr>
          <w:b/>
          <w:bCs/>
          <w:sz w:val="24"/>
          <w:szCs w:val="24"/>
        </w:rPr>
        <w:t xml:space="preserve"> e </w:t>
      </w:r>
      <w:hyperlink r:id="rId22" w:history="1">
        <w:r w:rsidRPr="002716E7">
          <w:rPr>
            <w:rStyle w:val="Hyperlink"/>
            <w:b/>
            <w:bCs/>
            <w:sz w:val="24"/>
            <w:szCs w:val="24"/>
          </w:rPr>
          <w:t>10.833/03</w:t>
        </w:r>
      </w:hyperlink>
      <w:r w:rsidRPr="002716E7">
        <w:rPr>
          <w:b/>
          <w:bCs/>
          <w:sz w:val="24"/>
          <w:szCs w:val="24"/>
        </w:rPr>
        <w:t>).</w:t>
      </w:r>
    </w:p>
    <w:p w14:paraId="44DE2455" w14:textId="51ED646D" w:rsidR="002716E7" w:rsidRDefault="002716E7" w:rsidP="0015736B">
      <w:pPr>
        <w:tabs>
          <w:tab w:val="left" w:pos="1276"/>
        </w:tabs>
        <w:spacing w:before="120" w:after="120" w:line="360" w:lineRule="auto"/>
        <w:ind w:firstLine="851"/>
        <w:jc w:val="both"/>
        <w:rPr>
          <w:sz w:val="24"/>
          <w:szCs w:val="24"/>
        </w:rPr>
      </w:pPr>
      <w:r>
        <w:rPr>
          <w:sz w:val="24"/>
          <w:szCs w:val="24"/>
        </w:rPr>
        <w:t xml:space="preserve">A Lei n º 9.718/98 </w:t>
      </w:r>
      <w:r w:rsidR="0074258B" w:rsidRPr="0074258B">
        <w:rPr>
          <w:sz w:val="24"/>
          <w:szCs w:val="24"/>
        </w:rPr>
        <w:t>modificou a forma como as contribuições sociais do PIS e da COFINS são calculadas, estabelecendo que a receita bruta inclui todas as receitas obtidas pela pessoa jurídica, independentemente do tipo de atividade realizada.</w:t>
      </w:r>
    </w:p>
    <w:p w14:paraId="31739DF7" w14:textId="2CE64F15" w:rsidR="002716E7" w:rsidRDefault="00207C74" w:rsidP="00871D10">
      <w:pPr>
        <w:tabs>
          <w:tab w:val="left" w:pos="1276"/>
        </w:tabs>
        <w:spacing w:before="120" w:after="120" w:line="360" w:lineRule="auto"/>
        <w:ind w:firstLine="851"/>
        <w:jc w:val="both"/>
        <w:rPr>
          <w:sz w:val="24"/>
          <w:szCs w:val="24"/>
        </w:rPr>
      </w:pPr>
      <w:r>
        <w:rPr>
          <w:sz w:val="24"/>
          <w:szCs w:val="24"/>
        </w:rPr>
        <w:t xml:space="preserve">O alargamento da base de cálculo das contribuições sociais foi declarado inconstitucional pelo STF, uma vez que na época </w:t>
      </w:r>
      <w:r w:rsidR="00114CFC">
        <w:rPr>
          <w:sz w:val="24"/>
          <w:szCs w:val="24"/>
        </w:rPr>
        <w:t>da instituição da Lei nº 9.718/98</w:t>
      </w:r>
      <w:r w:rsidR="00CD18DA">
        <w:rPr>
          <w:sz w:val="24"/>
          <w:szCs w:val="24"/>
        </w:rPr>
        <w:t xml:space="preserve">, o texto constitucional não apresentava como base de tributação para as contribuições sociais </w:t>
      </w:r>
      <w:r w:rsidR="00871D10">
        <w:rPr>
          <w:sz w:val="24"/>
          <w:szCs w:val="24"/>
        </w:rPr>
        <w:t>o signo receita, mas somente o faturamento.</w:t>
      </w:r>
    </w:p>
    <w:p w14:paraId="6E4E9B7A" w14:textId="5386AC22" w:rsidR="000F29F3" w:rsidRDefault="000F29F3" w:rsidP="00871D10">
      <w:pPr>
        <w:tabs>
          <w:tab w:val="left" w:pos="1276"/>
        </w:tabs>
        <w:spacing w:before="120" w:after="120" w:line="360" w:lineRule="auto"/>
        <w:ind w:firstLine="851"/>
        <w:jc w:val="both"/>
        <w:rPr>
          <w:sz w:val="24"/>
          <w:szCs w:val="24"/>
        </w:rPr>
      </w:pPr>
      <w:r>
        <w:rPr>
          <w:sz w:val="24"/>
          <w:szCs w:val="24"/>
        </w:rPr>
        <w:lastRenderedPageBreak/>
        <w:t xml:space="preserve">Em </w:t>
      </w:r>
      <w:r w:rsidR="00F80545">
        <w:rPr>
          <w:sz w:val="24"/>
          <w:szCs w:val="24"/>
        </w:rPr>
        <w:t>Recurso Extraordinário nº 3416084-4/PR</w:t>
      </w:r>
      <w:r w:rsidR="00022F7C">
        <w:rPr>
          <w:sz w:val="24"/>
          <w:szCs w:val="24"/>
        </w:rPr>
        <w:t xml:space="preserve"> o STF entendeu </w:t>
      </w:r>
      <w:r w:rsidR="00DB47A3">
        <w:rPr>
          <w:sz w:val="24"/>
          <w:szCs w:val="24"/>
        </w:rPr>
        <w:t>pela inconstitucionalidade do §1º do art. 3º da Lei nº 9.718/98.</w:t>
      </w:r>
    </w:p>
    <w:p w14:paraId="711895A4" w14:textId="74277CBE" w:rsidR="00DB47A3" w:rsidRDefault="00DB47A3" w:rsidP="00871D10">
      <w:pPr>
        <w:tabs>
          <w:tab w:val="left" w:pos="1276"/>
        </w:tabs>
        <w:spacing w:before="120" w:after="120" w:line="360" w:lineRule="auto"/>
        <w:ind w:firstLine="851"/>
        <w:jc w:val="both"/>
        <w:rPr>
          <w:sz w:val="24"/>
          <w:szCs w:val="24"/>
        </w:rPr>
      </w:pPr>
      <w:r>
        <w:rPr>
          <w:sz w:val="24"/>
          <w:szCs w:val="24"/>
        </w:rPr>
        <w:t xml:space="preserve">Com a edição da Emenda Constitucional nº 48, de 19/12/2013, foram acrescentadas a competência </w:t>
      </w:r>
      <w:r w:rsidR="002B5064">
        <w:rPr>
          <w:sz w:val="24"/>
          <w:szCs w:val="24"/>
        </w:rPr>
        <w:t xml:space="preserve">para incidência não cumulativa das contribuições sociais, qual fora efetivada pelas leis </w:t>
      </w:r>
      <w:proofErr w:type="spellStart"/>
      <w:r w:rsidR="002B5064">
        <w:rPr>
          <w:sz w:val="24"/>
          <w:szCs w:val="24"/>
        </w:rPr>
        <w:t>nºs</w:t>
      </w:r>
      <w:proofErr w:type="spellEnd"/>
      <w:r w:rsidR="002B5064">
        <w:rPr>
          <w:sz w:val="24"/>
          <w:szCs w:val="24"/>
        </w:rPr>
        <w:t xml:space="preserve"> 10.637</w:t>
      </w:r>
      <w:r w:rsidR="005E7AE1">
        <w:rPr>
          <w:sz w:val="24"/>
          <w:szCs w:val="24"/>
        </w:rPr>
        <w:t>/02 e 10.833/03, as quais fixavam com base de cálculo as receitas auferidas pela pessoa jurídica.</w:t>
      </w:r>
    </w:p>
    <w:p w14:paraId="21439162" w14:textId="29BBC6FB" w:rsidR="00A503DF" w:rsidRDefault="00C25A9A" w:rsidP="00BB29BE">
      <w:pPr>
        <w:tabs>
          <w:tab w:val="left" w:pos="1276"/>
        </w:tabs>
        <w:spacing w:before="120" w:after="120" w:line="360" w:lineRule="auto"/>
        <w:ind w:firstLine="851"/>
        <w:jc w:val="both"/>
        <w:rPr>
          <w:sz w:val="24"/>
          <w:szCs w:val="24"/>
        </w:rPr>
      </w:pPr>
      <w:r>
        <w:rPr>
          <w:sz w:val="24"/>
          <w:szCs w:val="24"/>
        </w:rPr>
        <w:t>Com a entrada em vigor da Lei nº 12.973</w:t>
      </w:r>
      <w:r w:rsidR="00FC2127">
        <w:rPr>
          <w:sz w:val="24"/>
          <w:szCs w:val="24"/>
        </w:rPr>
        <w:t>/14, a base de cálculo para o regime não cumulativo</w:t>
      </w:r>
      <w:r w:rsidR="00520E4D">
        <w:rPr>
          <w:sz w:val="24"/>
          <w:szCs w:val="24"/>
        </w:rPr>
        <w:t xml:space="preserve"> da PIS e COFINS</w:t>
      </w:r>
      <w:r w:rsidR="00FC2127">
        <w:rPr>
          <w:sz w:val="24"/>
          <w:szCs w:val="24"/>
        </w:rPr>
        <w:t xml:space="preserve"> foi alterada, passando a ser a receita bruta </w:t>
      </w:r>
      <w:r w:rsidR="00061521">
        <w:rPr>
          <w:sz w:val="24"/>
          <w:szCs w:val="24"/>
        </w:rPr>
        <w:t>auferida pela pessoa jurídica, assim como no regime cumulativo.</w:t>
      </w:r>
      <w:r w:rsidR="00BB29BE">
        <w:rPr>
          <w:sz w:val="24"/>
          <w:szCs w:val="24"/>
        </w:rPr>
        <w:t xml:space="preserve"> </w:t>
      </w:r>
      <w:r w:rsidR="000D46DB">
        <w:rPr>
          <w:sz w:val="24"/>
          <w:szCs w:val="24"/>
        </w:rPr>
        <w:t>Ademais</w:t>
      </w:r>
      <w:r w:rsidR="00BB29BE">
        <w:rPr>
          <w:sz w:val="24"/>
          <w:szCs w:val="24"/>
        </w:rPr>
        <w:t>,</w:t>
      </w:r>
      <w:r w:rsidR="000D46DB">
        <w:rPr>
          <w:sz w:val="24"/>
          <w:szCs w:val="24"/>
        </w:rPr>
        <w:t xml:space="preserve"> </w:t>
      </w:r>
      <w:r w:rsidR="00BB29BE">
        <w:rPr>
          <w:sz w:val="24"/>
          <w:szCs w:val="24"/>
        </w:rPr>
        <w:t>a</w:t>
      </w:r>
      <w:r w:rsidR="000D46DB">
        <w:rPr>
          <w:sz w:val="24"/>
          <w:szCs w:val="24"/>
        </w:rPr>
        <w:t xml:space="preserve"> lei trouxe mudanças significativas na forma de apuração dos créditos do regime não cumulativo, estabelecendo novas regras para identificação e utilização desses créditos. </w:t>
      </w:r>
    </w:p>
    <w:p w14:paraId="1792C0E9" w14:textId="6A17F5AE" w:rsidR="00BB29BE" w:rsidRDefault="00BB29BE" w:rsidP="00BB29BE">
      <w:pPr>
        <w:tabs>
          <w:tab w:val="left" w:pos="1276"/>
        </w:tabs>
        <w:spacing w:before="120" w:after="120" w:line="360" w:lineRule="auto"/>
        <w:ind w:firstLine="851"/>
        <w:jc w:val="both"/>
        <w:rPr>
          <w:sz w:val="24"/>
          <w:szCs w:val="24"/>
        </w:rPr>
      </w:pPr>
      <w:r>
        <w:rPr>
          <w:sz w:val="24"/>
          <w:szCs w:val="24"/>
        </w:rPr>
        <w:t xml:space="preserve">Assim, </w:t>
      </w:r>
      <w:r w:rsidR="00A228D3" w:rsidRPr="00A228D3">
        <w:rPr>
          <w:sz w:val="24"/>
          <w:szCs w:val="24"/>
        </w:rPr>
        <w:t xml:space="preserve">a Lei </w:t>
      </w:r>
      <w:r w:rsidR="00A228D3">
        <w:rPr>
          <w:sz w:val="24"/>
          <w:szCs w:val="24"/>
        </w:rPr>
        <w:t xml:space="preserve">nº </w:t>
      </w:r>
      <w:r w:rsidR="00A228D3" w:rsidRPr="00A228D3">
        <w:rPr>
          <w:sz w:val="24"/>
          <w:szCs w:val="24"/>
        </w:rPr>
        <w:t>12.973/14 impactou principalmente o regime não-cumulativo da Contribuição para o PIS e da COFINS, trazendo mudanças significativas nas bases de cálculo e nas deduções permitidas, enquanto as alterações para o regime cumulativo foram menos expressivas.</w:t>
      </w:r>
    </w:p>
    <w:p w14:paraId="64384B4C" w14:textId="0D0E88F8" w:rsidR="00F2465E" w:rsidRPr="002716E7" w:rsidRDefault="00CA5098" w:rsidP="002716E7">
      <w:pPr>
        <w:numPr>
          <w:ilvl w:val="0"/>
          <w:numId w:val="11"/>
        </w:numPr>
        <w:tabs>
          <w:tab w:val="clear" w:pos="360"/>
          <w:tab w:val="num" w:pos="426"/>
        </w:tabs>
        <w:spacing w:before="120"/>
        <w:ind w:left="425" w:hanging="425"/>
        <w:jc w:val="both"/>
        <w:rPr>
          <w:b/>
          <w:bCs/>
          <w:sz w:val="24"/>
          <w:szCs w:val="24"/>
        </w:rPr>
      </w:pPr>
      <w:r w:rsidRPr="008B0587">
        <w:rPr>
          <w:b/>
          <w:bCs/>
          <w:sz w:val="24"/>
          <w:szCs w:val="24"/>
        </w:rPr>
        <w:t xml:space="preserve">Com a edição das Leis </w:t>
      </w:r>
      <w:proofErr w:type="spellStart"/>
      <w:r w:rsidRPr="008B0587">
        <w:rPr>
          <w:b/>
          <w:bCs/>
          <w:sz w:val="24"/>
          <w:szCs w:val="24"/>
        </w:rPr>
        <w:t>nºs</w:t>
      </w:r>
      <w:proofErr w:type="spellEnd"/>
      <w:r w:rsidRPr="008B0587">
        <w:rPr>
          <w:b/>
          <w:bCs/>
          <w:sz w:val="24"/>
          <w:szCs w:val="24"/>
        </w:rPr>
        <w:t xml:space="preserve"> 10.637/02 e 10.833/03, instituiu-se o regime não-cumulativo da Contribuição ao PIS e da COFINS. Neste contexto, pergunta-se: </w:t>
      </w:r>
    </w:p>
    <w:p w14:paraId="58D4C385" w14:textId="38B4CB2B" w:rsidR="00EC38F2" w:rsidRPr="00781099" w:rsidRDefault="00A53121" w:rsidP="002A5CAC">
      <w:pPr>
        <w:numPr>
          <w:ilvl w:val="0"/>
          <w:numId w:val="16"/>
        </w:numPr>
        <w:tabs>
          <w:tab w:val="left" w:pos="851"/>
        </w:tabs>
        <w:spacing w:before="120"/>
        <w:ind w:left="1276" w:hanging="425"/>
        <w:jc w:val="both"/>
        <w:rPr>
          <w:b/>
          <w:bCs/>
          <w:sz w:val="24"/>
          <w:szCs w:val="24"/>
        </w:rPr>
      </w:pPr>
      <w:r w:rsidRPr="00781099">
        <w:rPr>
          <w:b/>
          <w:bCs/>
          <w:sz w:val="24"/>
          <w:szCs w:val="24"/>
        </w:rPr>
        <w:t xml:space="preserve">Há um conteúdo mínimo para a não-cumulatividade ou esta é o que a lei estabelecer? </w:t>
      </w:r>
    </w:p>
    <w:p w14:paraId="5018D8DD" w14:textId="343911A4" w:rsidR="00304C83" w:rsidRDefault="00304C83" w:rsidP="00EA4B97">
      <w:pPr>
        <w:tabs>
          <w:tab w:val="left" w:pos="1276"/>
        </w:tabs>
        <w:spacing w:before="120" w:after="120" w:line="360" w:lineRule="auto"/>
        <w:ind w:firstLine="851"/>
        <w:jc w:val="both"/>
        <w:rPr>
          <w:sz w:val="24"/>
          <w:szCs w:val="24"/>
        </w:rPr>
      </w:pPr>
      <w:r>
        <w:rPr>
          <w:sz w:val="24"/>
          <w:szCs w:val="24"/>
        </w:rPr>
        <w:t>O regime não cumulativo da PIS e do COFINS</w:t>
      </w:r>
      <w:r w:rsidR="0078654F">
        <w:rPr>
          <w:sz w:val="24"/>
          <w:szCs w:val="24"/>
        </w:rPr>
        <w:t xml:space="preserve">, instituído pelas Lei </w:t>
      </w:r>
      <w:proofErr w:type="spellStart"/>
      <w:r w:rsidR="0078654F">
        <w:rPr>
          <w:sz w:val="24"/>
          <w:szCs w:val="24"/>
        </w:rPr>
        <w:t>nº</w:t>
      </w:r>
      <w:r w:rsidR="0078654F" w:rsidRPr="0078654F">
        <w:rPr>
          <w:sz w:val="24"/>
          <w:szCs w:val="24"/>
        </w:rPr>
        <w:t>s</w:t>
      </w:r>
      <w:proofErr w:type="spellEnd"/>
      <w:r w:rsidR="0078654F" w:rsidRPr="0078654F">
        <w:rPr>
          <w:sz w:val="24"/>
          <w:szCs w:val="24"/>
        </w:rPr>
        <w:t xml:space="preserve"> 10.637/02 e 10.833/03</w:t>
      </w:r>
      <w:r w:rsidR="001F5820">
        <w:rPr>
          <w:sz w:val="24"/>
          <w:szCs w:val="24"/>
        </w:rPr>
        <w:t>,</w:t>
      </w:r>
      <w:r>
        <w:rPr>
          <w:sz w:val="24"/>
          <w:szCs w:val="24"/>
        </w:rPr>
        <w:t xml:space="preserve"> consiste</w:t>
      </w:r>
      <w:r w:rsidR="0078654F">
        <w:rPr>
          <w:sz w:val="24"/>
          <w:szCs w:val="24"/>
        </w:rPr>
        <w:t xml:space="preserve"> em deduzir dos débitos apurados de cada contribuição, os respectivos créditos</w:t>
      </w:r>
      <w:r w:rsidR="001F5820">
        <w:rPr>
          <w:sz w:val="24"/>
          <w:szCs w:val="24"/>
        </w:rPr>
        <w:t xml:space="preserve"> admitidos na legislação.</w:t>
      </w:r>
      <w:r w:rsidR="00B81627">
        <w:rPr>
          <w:sz w:val="24"/>
          <w:szCs w:val="24"/>
        </w:rPr>
        <w:t xml:space="preserve"> </w:t>
      </w:r>
      <w:r w:rsidR="00F55C57">
        <w:rPr>
          <w:sz w:val="24"/>
          <w:szCs w:val="24"/>
        </w:rPr>
        <w:t xml:space="preserve">Neste regime, é permitido o desconto de créditos apurados com base em custos, despesas e encargos da pessoa jurídica, </w:t>
      </w:r>
      <w:r w:rsidR="00B81627">
        <w:rPr>
          <w:sz w:val="24"/>
          <w:szCs w:val="24"/>
        </w:rPr>
        <w:t>sendo as</w:t>
      </w:r>
      <w:r w:rsidR="00F55C57">
        <w:rPr>
          <w:sz w:val="24"/>
          <w:szCs w:val="24"/>
        </w:rPr>
        <w:t xml:space="preserve"> alíquotas da Contribuição para o PIS</w:t>
      </w:r>
      <w:r w:rsidR="00EA4B97">
        <w:rPr>
          <w:sz w:val="24"/>
          <w:szCs w:val="24"/>
        </w:rPr>
        <w:t xml:space="preserve"> de 1,65% </w:t>
      </w:r>
      <w:r w:rsidR="00B13D37">
        <w:rPr>
          <w:sz w:val="24"/>
          <w:szCs w:val="24"/>
        </w:rPr>
        <w:t>e da</w:t>
      </w:r>
      <w:r w:rsidR="00F55C57">
        <w:rPr>
          <w:sz w:val="24"/>
          <w:szCs w:val="24"/>
        </w:rPr>
        <w:t xml:space="preserve"> COFINS de 7,6%.</w:t>
      </w:r>
      <w:r w:rsidR="0078654F">
        <w:rPr>
          <w:sz w:val="24"/>
          <w:szCs w:val="24"/>
        </w:rPr>
        <w:t xml:space="preserve"> </w:t>
      </w:r>
    </w:p>
    <w:p w14:paraId="478B90E2" w14:textId="6394EBFC" w:rsidR="00517063" w:rsidRDefault="00BE61A2" w:rsidP="00B13D37">
      <w:pPr>
        <w:tabs>
          <w:tab w:val="left" w:pos="1276"/>
        </w:tabs>
        <w:spacing w:before="120" w:after="120" w:line="360" w:lineRule="auto"/>
        <w:ind w:firstLine="851"/>
        <w:jc w:val="both"/>
        <w:rPr>
          <w:sz w:val="24"/>
          <w:szCs w:val="24"/>
        </w:rPr>
      </w:pPr>
      <w:r>
        <w:rPr>
          <w:sz w:val="24"/>
          <w:szCs w:val="24"/>
        </w:rPr>
        <w:t>Segundo as legislações em estudo a</w:t>
      </w:r>
      <w:r w:rsidR="00622D48">
        <w:rPr>
          <w:sz w:val="24"/>
          <w:szCs w:val="24"/>
        </w:rPr>
        <w:t xml:space="preserve"> não-cumulatividade </w:t>
      </w:r>
      <w:r>
        <w:rPr>
          <w:sz w:val="24"/>
          <w:szCs w:val="24"/>
        </w:rPr>
        <w:t>p</w:t>
      </w:r>
      <w:r w:rsidR="00181658">
        <w:rPr>
          <w:sz w:val="24"/>
          <w:szCs w:val="24"/>
        </w:rPr>
        <w:t>ossui limites, uma vez que elas</w:t>
      </w:r>
      <w:r w:rsidR="00B31DCB">
        <w:rPr>
          <w:sz w:val="24"/>
          <w:szCs w:val="24"/>
        </w:rPr>
        <w:t xml:space="preserve"> limitam a possibilidade de creditamento</w:t>
      </w:r>
      <w:r w:rsidR="00517063">
        <w:rPr>
          <w:sz w:val="24"/>
          <w:szCs w:val="24"/>
        </w:rPr>
        <w:t xml:space="preserve">, apontando situações </w:t>
      </w:r>
      <w:r w:rsidR="00045B99">
        <w:rPr>
          <w:sz w:val="24"/>
          <w:szCs w:val="24"/>
        </w:rPr>
        <w:t xml:space="preserve">nas quais não é possível </w:t>
      </w:r>
      <w:r w:rsidR="000012F5">
        <w:rPr>
          <w:sz w:val="24"/>
          <w:szCs w:val="24"/>
        </w:rPr>
        <w:t xml:space="preserve">o mesmo. </w:t>
      </w:r>
      <w:r w:rsidR="00517063">
        <w:rPr>
          <w:sz w:val="24"/>
          <w:szCs w:val="24"/>
        </w:rPr>
        <w:t>Nesse sentido, o professor Paulo de Barros Carvalho pontuou:</w:t>
      </w:r>
    </w:p>
    <w:p w14:paraId="7B5C1119" w14:textId="77777777" w:rsidR="003223B4" w:rsidRDefault="00EC38F2" w:rsidP="00517063">
      <w:pPr>
        <w:tabs>
          <w:tab w:val="left" w:pos="1276"/>
        </w:tabs>
        <w:spacing w:before="120" w:after="120"/>
        <w:ind w:left="2268"/>
        <w:jc w:val="both"/>
        <w:rPr>
          <w:i/>
          <w:iCs/>
          <w:sz w:val="22"/>
          <w:szCs w:val="22"/>
        </w:rPr>
      </w:pPr>
      <w:r w:rsidRPr="00517063">
        <w:rPr>
          <w:i/>
          <w:iCs/>
          <w:sz w:val="22"/>
          <w:szCs w:val="22"/>
        </w:rPr>
        <w:t>“</w:t>
      </w:r>
      <w:r w:rsidR="00861C0C" w:rsidRPr="00517063">
        <w:rPr>
          <w:i/>
          <w:iCs/>
          <w:sz w:val="22"/>
          <w:szCs w:val="22"/>
        </w:rPr>
        <w:t>(...) o regime não-cumulativo instituído pelas Leis nº 10.637</w:t>
      </w:r>
      <w:r w:rsidR="00226E8F" w:rsidRPr="00517063">
        <w:rPr>
          <w:i/>
          <w:iCs/>
          <w:sz w:val="22"/>
          <w:szCs w:val="22"/>
        </w:rPr>
        <w:t xml:space="preserve">/02 e 10.833/03 permite às empresas </w:t>
      </w:r>
      <w:proofErr w:type="gramStart"/>
      <w:r w:rsidR="00226E8F" w:rsidRPr="00517063">
        <w:rPr>
          <w:i/>
          <w:iCs/>
          <w:sz w:val="22"/>
          <w:szCs w:val="22"/>
        </w:rPr>
        <w:t>utilizar</w:t>
      </w:r>
      <w:proofErr w:type="gramEnd"/>
      <w:r w:rsidR="00226E8F" w:rsidRPr="00517063">
        <w:rPr>
          <w:i/>
          <w:iCs/>
          <w:sz w:val="22"/>
          <w:szCs w:val="22"/>
        </w:rPr>
        <w:t xml:space="preserve"> créditos de PIS e COFINS relativos às etapas anteriores da cadeia econômica para abatê-los dos </w:t>
      </w:r>
      <w:r w:rsidR="00226E8F" w:rsidRPr="00517063">
        <w:rPr>
          <w:i/>
          <w:iCs/>
          <w:sz w:val="22"/>
          <w:szCs w:val="22"/>
        </w:rPr>
        <w:lastRenderedPageBreak/>
        <w:t xml:space="preserve">valores das contribuições </w:t>
      </w:r>
      <w:r w:rsidR="001C78E5" w:rsidRPr="00517063">
        <w:rPr>
          <w:i/>
          <w:iCs/>
          <w:sz w:val="22"/>
          <w:szCs w:val="22"/>
        </w:rPr>
        <w:t>incidentes sobre suas receitas. Tais legislações, porém, limitam a possibilidade de creditamento</w:t>
      </w:r>
      <w:r w:rsidR="00E109DA">
        <w:rPr>
          <w:i/>
          <w:iCs/>
          <w:sz w:val="22"/>
          <w:szCs w:val="22"/>
        </w:rPr>
        <w:t>, relacionando</w:t>
      </w:r>
      <w:r w:rsidR="00DB760C">
        <w:rPr>
          <w:i/>
          <w:iCs/>
          <w:sz w:val="22"/>
          <w:szCs w:val="22"/>
        </w:rPr>
        <w:t xml:space="preserve"> situações que não fazem surgir esse direto. Prescrevem no artigo</w:t>
      </w:r>
      <w:r w:rsidR="003223B4">
        <w:rPr>
          <w:i/>
          <w:iCs/>
          <w:sz w:val="22"/>
          <w:szCs w:val="22"/>
        </w:rPr>
        <w:t xml:space="preserve"> 3º, §2º:</w:t>
      </w:r>
    </w:p>
    <w:p w14:paraId="7E11BE0B" w14:textId="77777777" w:rsidR="00F56AB7" w:rsidRDefault="003223B4" w:rsidP="00517063">
      <w:pPr>
        <w:tabs>
          <w:tab w:val="left" w:pos="1276"/>
        </w:tabs>
        <w:spacing w:before="120" w:after="120"/>
        <w:ind w:left="2268"/>
        <w:jc w:val="both"/>
        <w:rPr>
          <w:i/>
          <w:iCs/>
          <w:sz w:val="22"/>
          <w:szCs w:val="22"/>
        </w:rPr>
      </w:pPr>
      <w:r>
        <w:rPr>
          <w:i/>
          <w:iCs/>
          <w:sz w:val="22"/>
          <w:szCs w:val="22"/>
        </w:rPr>
        <w:t>Art. 3º</w:t>
      </w:r>
    </w:p>
    <w:p w14:paraId="1A3D2E17" w14:textId="77777777" w:rsidR="00F56AB7" w:rsidRDefault="00F56AB7" w:rsidP="00517063">
      <w:pPr>
        <w:tabs>
          <w:tab w:val="left" w:pos="1276"/>
        </w:tabs>
        <w:spacing w:before="120" w:after="120"/>
        <w:ind w:left="2268"/>
        <w:jc w:val="both"/>
        <w:rPr>
          <w:i/>
          <w:iCs/>
          <w:sz w:val="22"/>
          <w:szCs w:val="22"/>
        </w:rPr>
      </w:pPr>
      <w:r>
        <w:rPr>
          <w:i/>
          <w:iCs/>
          <w:sz w:val="22"/>
          <w:szCs w:val="22"/>
        </w:rPr>
        <w:t>§2º Não dará direito a crédito o valor:</w:t>
      </w:r>
    </w:p>
    <w:p w14:paraId="09FF755B" w14:textId="77777777" w:rsidR="00F56AB7" w:rsidRDefault="00F56AB7" w:rsidP="00517063">
      <w:pPr>
        <w:tabs>
          <w:tab w:val="left" w:pos="1276"/>
        </w:tabs>
        <w:spacing w:before="120" w:after="120"/>
        <w:ind w:left="2268"/>
        <w:jc w:val="both"/>
        <w:rPr>
          <w:i/>
          <w:iCs/>
          <w:sz w:val="22"/>
          <w:szCs w:val="22"/>
        </w:rPr>
      </w:pPr>
      <w:r>
        <w:rPr>
          <w:i/>
          <w:iCs/>
          <w:sz w:val="22"/>
          <w:szCs w:val="22"/>
        </w:rPr>
        <w:t xml:space="preserve">I – mão-de-obra paga para a pessoa </w:t>
      </w:r>
      <w:proofErr w:type="spellStart"/>
      <w:proofErr w:type="gramStart"/>
      <w:r>
        <w:rPr>
          <w:i/>
          <w:iCs/>
          <w:sz w:val="22"/>
          <w:szCs w:val="22"/>
        </w:rPr>
        <w:t>física;e</w:t>
      </w:r>
      <w:proofErr w:type="spellEnd"/>
      <w:proofErr w:type="gramEnd"/>
      <w:r>
        <w:rPr>
          <w:i/>
          <w:iCs/>
          <w:sz w:val="22"/>
          <w:szCs w:val="22"/>
        </w:rPr>
        <w:t xml:space="preserve"> </w:t>
      </w:r>
    </w:p>
    <w:p w14:paraId="3EC96302" w14:textId="43C641A9" w:rsidR="00CE446C" w:rsidRDefault="00F56AB7" w:rsidP="002128BD">
      <w:pPr>
        <w:tabs>
          <w:tab w:val="left" w:pos="1276"/>
        </w:tabs>
        <w:spacing w:before="120" w:after="120"/>
        <w:ind w:left="2268"/>
        <w:jc w:val="both"/>
        <w:rPr>
          <w:i/>
          <w:iCs/>
          <w:sz w:val="22"/>
          <w:szCs w:val="22"/>
        </w:rPr>
      </w:pPr>
      <w:r>
        <w:rPr>
          <w:i/>
          <w:iCs/>
          <w:sz w:val="22"/>
          <w:szCs w:val="22"/>
        </w:rPr>
        <w:t xml:space="preserve">II- </w:t>
      </w:r>
      <w:proofErr w:type="gramStart"/>
      <w:r>
        <w:rPr>
          <w:i/>
          <w:iCs/>
          <w:sz w:val="22"/>
          <w:szCs w:val="22"/>
        </w:rPr>
        <w:t>da</w:t>
      </w:r>
      <w:proofErr w:type="gramEnd"/>
      <w:r>
        <w:rPr>
          <w:i/>
          <w:iCs/>
          <w:sz w:val="22"/>
          <w:szCs w:val="22"/>
        </w:rPr>
        <w:t xml:space="preserve"> aquisição de bens ou serviços não sujeitos ao pagamento da contribuição, inclusive</w:t>
      </w:r>
      <w:r w:rsidR="002573C5">
        <w:rPr>
          <w:i/>
          <w:iCs/>
          <w:sz w:val="22"/>
          <w:szCs w:val="22"/>
        </w:rPr>
        <w:t xml:space="preserve"> no caso de isenção, esse último quando revendidos ou utilizados como insumo </w:t>
      </w:r>
      <w:r w:rsidR="00EE3681">
        <w:rPr>
          <w:i/>
          <w:iCs/>
          <w:sz w:val="22"/>
          <w:szCs w:val="22"/>
        </w:rPr>
        <w:t xml:space="preserve">em produtos ou serviços sujeitos </w:t>
      </w:r>
      <w:proofErr w:type="spellStart"/>
      <w:r w:rsidR="00EE3681">
        <w:rPr>
          <w:i/>
          <w:iCs/>
          <w:sz w:val="22"/>
          <w:szCs w:val="22"/>
        </w:rPr>
        <w:t>á</w:t>
      </w:r>
      <w:proofErr w:type="spellEnd"/>
      <w:r w:rsidR="00EE3681">
        <w:rPr>
          <w:i/>
          <w:iCs/>
          <w:sz w:val="22"/>
          <w:szCs w:val="22"/>
        </w:rPr>
        <w:t xml:space="preserve"> alíquota</w:t>
      </w:r>
      <w:r w:rsidR="00007ADC">
        <w:rPr>
          <w:i/>
          <w:iCs/>
          <w:sz w:val="22"/>
          <w:szCs w:val="22"/>
        </w:rPr>
        <w:t xml:space="preserve"> 0 (zero), isentos ou não alcançados pela contribuição. (Acrescentado pela Lei nº 10,865/04)</w:t>
      </w:r>
      <w:r w:rsidR="00F2465E">
        <w:rPr>
          <w:i/>
          <w:iCs/>
          <w:sz w:val="22"/>
          <w:szCs w:val="22"/>
        </w:rPr>
        <w:t>”</w:t>
      </w:r>
      <w:r w:rsidR="00DB760C">
        <w:rPr>
          <w:i/>
          <w:iCs/>
          <w:sz w:val="22"/>
          <w:szCs w:val="22"/>
        </w:rPr>
        <w:t xml:space="preserve"> </w:t>
      </w:r>
      <w:r w:rsidR="00CE446C">
        <w:rPr>
          <w:rStyle w:val="Refdenotaderodap"/>
          <w:i/>
          <w:iCs/>
          <w:sz w:val="22"/>
          <w:szCs w:val="22"/>
        </w:rPr>
        <w:footnoteReference w:id="4"/>
      </w:r>
    </w:p>
    <w:p w14:paraId="79C1AA0E" w14:textId="77777777" w:rsidR="002128BD" w:rsidRPr="002128BD" w:rsidRDefault="002128BD" w:rsidP="002128BD">
      <w:pPr>
        <w:tabs>
          <w:tab w:val="left" w:pos="1276"/>
        </w:tabs>
        <w:spacing w:before="120" w:after="120"/>
        <w:ind w:left="2268"/>
        <w:jc w:val="both"/>
        <w:rPr>
          <w:i/>
          <w:iCs/>
          <w:sz w:val="22"/>
          <w:szCs w:val="22"/>
        </w:rPr>
      </w:pPr>
    </w:p>
    <w:p w14:paraId="7128264F" w14:textId="445D3BE9" w:rsidR="00E55A87" w:rsidRPr="00A2533E" w:rsidRDefault="00CE446C" w:rsidP="002716E7">
      <w:pPr>
        <w:tabs>
          <w:tab w:val="left" w:pos="1276"/>
        </w:tabs>
        <w:spacing w:before="120" w:after="120" w:line="360" w:lineRule="auto"/>
        <w:ind w:firstLine="851"/>
        <w:jc w:val="both"/>
        <w:rPr>
          <w:sz w:val="24"/>
          <w:szCs w:val="24"/>
        </w:rPr>
      </w:pPr>
      <w:r>
        <w:rPr>
          <w:sz w:val="24"/>
          <w:szCs w:val="24"/>
        </w:rPr>
        <w:t>Acredito que</w:t>
      </w:r>
      <w:r w:rsidRPr="00CE446C">
        <w:rPr>
          <w:sz w:val="24"/>
          <w:szCs w:val="24"/>
        </w:rPr>
        <w:t xml:space="preserve"> a implementação de sistemas não cumulativos, como estabelecido pel</w:t>
      </w:r>
      <w:r w:rsidR="00482007">
        <w:rPr>
          <w:sz w:val="24"/>
          <w:szCs w:val="24"/>
        </w:rPr>
        <w:t>as legislações em estudo</w:t>
      </w:r>
      <w:r w:rsidRPr="00CE446C">
        <w:rPr>
          <w:sz w:val="24"/>
          <w:szCs w:val="24"/>
        </w:rPr>
        <w:t>, representa um avanço positivo para um sistema tributário que busca promover justiça e equidade. Ao permitir que os contribuintes abatam créditos relacionados à aquisição de bens e serviços, essa abordagem inicialmente apresenta o mérito de mitigar os efeitos indesejados do chamado "efeito cascata" na cadeia produtiva. Esse efeito refere-se à tributação de um tributo sobre o próprio tributo ou sobre uma mesma base já tributada anteriormente, o que pode gerar distorções e injustiças no sistema fiscal.</w:t>
      </w:r>
    </w:p>
    <w:p w14:paraId="1295F372" w14:textId="068DECB6" w:rsidR="007A7AD5" w:rsidRPr="00893AB3" w:rsidRDefault="00A53121" w:rsidP="00B84C9E">
      <w:pPr>
        <w:numPr>
          <w:ilvl w:val="0"/>
          <w:numId w:val="16"/>
        </w:numPr>
        <w:tabs>
          <w:tab w:val="left" w:pos="851"/>
        </w:tabs>
        <w:spacing w:before="120"/>
        <w:ind w:left="1276" w:hanging="425"/>
        <w:jc w:val="both"/>
        <w:rPr>
          <w:b/>
          <w:bCs/>
          <w:sz w:val="24"/>
          <w:szCs w:val="24"/>
        </w:rPr>
      </w:pPr>
      <w:r w:rsidRPr="008B0587">
        <w:rPr>
          <w:b/>
          <w:bCs/>
          <w:sz w:val="24"/>
          <w:szCs w:val="24"/>
        </w:rPr>
        <w:t>A não-cumulatividade da Contribuição ao PIS e da COFINS equipara-se à do ICMS e do IPI? Em que sentido?</w:t>
      </w:r>
    </w:p>
    <w:p w14:paraId="01F99958" w14:textId="0EBAA866" w:rsidR="00893AB3" w:rsidRPr="00893AB3" w:rsidRDefault="00893AB3" w:rsidP="00893AB3">
      <w:pPr>
        <w:tabs>
          <w:tab w:val="left" w:pos="1276"/>
        </w:tabs>
        <w:spacing w:before="120" w:after="120" w:line="360" w:lineRule="auto"/>
        <w:ind w:firstLine="851"/>
        <w:jc w:val="both"/>
        <w:rPr>
          <w:sz w:val="24"/>
          <w:szCs w:val="24"/>
        </w:rPr>
      </w:pPr>
      <w:r w:rsidRPr="00893AB3">
        <w:rPr>
          <w:sz w:val="24"/>
          <w:szCs w:val="24"/>
        </w:rPr>
        <w:t>Sim, a não-cumulatividade da Contribuição para o Programa de Integração Social (PIS) e da Contribuição para o Financiamento da Seguridade Social (COFINS) equipara-se à do Imposto sobre Circulação de Mercadorias e Serviços (ICMS) e do Imposto sobre Produtos Industrializados (IPI), mas há algumas diferenças importantes.</w:t>
      </w:r>
    </w:p>
    <w:p w14:paraId="46B22D3E" w14:textId="34E64A8F" w:rsidR="00893AB3" w:rsidRPr="00893AB3" w:rsidRDefault="00893AB3" w:rsidP="00893AB3">
      <w:pPr>
        <w:tabs>
          <w:tab w:val="left" w:pos="1276"/>
        </w:tabs>
        <w:spacing w:before="120" w:after="120" w:line="360" w:lineRule="auto"/>
        <w:ind w:firstLine="851"/>
        <w:jc w:val="both"/>
        <w:rPr>
          <w:sz w:val="24"/>
          <w:szCs w:val="24"/>
        </w:rPr>
      </w:pPr>
      <w:r w:rsidRPr="00893AB3">
        <w:rPr>
          <w:sz w:val="24"/>
          <w:szCs w:val="24"/>
        </w:rPr>
        <w:t xml:space="preserve">A não-cumulatividade é um princípio que busca evitar a bitributação e consiste na possibilidade de dedução de créditos relativos às aquisições de insumos, matéria-prima e bens intermediários utilizados na produção ou comercialização de produtos ou na </w:t>
      </w:r>
      <w:r w:rsidRPr="00893AB3">
        <w:rPr>
          <w:sz w:val="24"/>
          <w:szCs w:val="24"/>
        </w:rPr>
        <w:lastRenderedPageBreak/>
        <w:t>prestação de serviços. Esses créditos podem ser abatidos do valor devido das contribuições ou impostos a serem recolhidos.</w:t>
      </w:r>
    </w:p>
    <w:p w14:paraId="5A405A1B" w14:textId="591CEBE1" w:rsidR="00893AB3" w:rsidRPr="00893AB3" w:rsidRDefault="00893AB3" w:rsidP="00893AB3">
      <w:pPr>
        <w:tabs>
          <w:tab w:val="left" w:pos="1276"/>
        </w:tabs>
        <w:spacing w:before="120" w:after="120" w:line="360" w:lineRule="auto"/>
        <w:ind w:firstLine="851"/>
        <w:jc w:val="both"/>
        <w:rPr>
          <w:sz w:val="24"/>
          <w:szCs w:val="24"/>
        </w:rPr>
      </w:pPr>
      <w:r w:rsidRPr="00893AB3">
        <w:rPr>
          <w:sz w:val="24"/>
          <w:szCs w:val="24"/>
        </w:rPr>
        <w:t>No caso da PIS e da COFINS, a não-cumulatividade foi instituída para evitar a tributação em cascata sobre a receita bruta das empresas. Assim como no ICMS e no IPI, as empresas têm direito a créditos referentes às aquisições de insumos, materiais e serviços utilizados em suas atividades produtivas. Esses créditos podem ser descontados do valor total devido das contribuições a serem recolhidas.</w:t>
      </w:r>
    </w:p>
    <w:p w14:paraId="58EE740C" w14:textId="71CD971F" w:rsidR="007A7AD5" w:rsidRPr="005A5262" w:rsidRDefault="00893AB3" w:rsidP="00893AB3">
      <w:pPr>
        <w:tabs>
          <w:tab w:val="left" w:pos="1276"/>
        </w:tabs>
        <w:spacing w:before="120" w:after="120" w:line="360" w:lineRule="auto"/>
        <w:ind w:firstLine="851"/>
        <w:jc w:val="both"/>
        <w:rPr>
          <w:sz w:val="24"/>
          <w:szCs w:val="24"/>
        </w:rPr>
      </w:pPr>
      <w:r w:rsidRPr="00893AB3">
        <w:rPr>
          <w:sz w:val="24"/>
          <w:szCs w:val="24"/>
        </w:rPr>
        <w:t>Portanto, a equiparação se dá no sentido de que tanto o ICMS e o IPI quanto a PIS e a COFINS adotam o princípio da não-cumulatividade, permitindo que as empresas deduzam créditos das aquisições de insumos. No entanto, existem diferenças específicas na forma como cada tributo é calculado, nas alíquotas aplicáveis e nas regras de apuração dos créditos, devido às características próprias de cada imposto ou contribuição e às normas específicas que os regem.</w:t>
      </w:r>
    </w:p>
    <w:p w14:paraId="0F012C99" w14:textId="77777777" w:rsidR="00A53121" w:rsidRDefault="00A53121" w:rsidP="00375742">
      <w:pPr>
        <w:numPr>
          <w:ilvl w:val="0"/>
          <w:numId w:val="16"/>
        </w:numPr>
        <w:tabs>
          <w:tab w:val="left" w:pos="851"/>
        </w:tabs>
        <w:spacing w:before="120"/>
        <w:ind w:left="1276" w:hanging="425"/>
        <w:jc w:val="both"/>
        <w:rPr>
          <w:b/>
          <w:bCs/>
          <w:sz w:val="24"/>
          <w:szCs w:val="24"/>
        </w:rPr>
      </w:pPr>
      <w:r w:rsidRPr="008B0587">
        <w:rPr>
          <w:b/>
          <w:bCs/>
          <w:sz w:val="24"/>
          <w:szCs w:val="24"/>
        </w:rPr>
        <w:t xml:space="preserve">O que pode ser considerado insumo para fins de creditamento no regime não-cumulativo desses tributos? </w:t>
      </w:r>
    </w:p>
    <w:p w14:paraId="13A164A4" w14:textId="50EAA176" w:rsidR="00B84C9E" w:rsidRDefault="0068088C" w:rsidP="002F7694">
      <w:pPr>
        <w:tabs>
          <w:tab w:val="left" w:pos="1276"/>
        </w:tabs>
        <w:spacing w:before="120" w:after="120" w:line="360" w:lineRule="auto"/>
        <w:ind w:firstLine="851"/>
        <w:jc w:val="both"/>
        <w:rPr>
          <w:sz w:val="24"/>
          <w:szCs w:val="24"/>
        </w:rPr>
      </w:pPr>
      <w:r>
        <w:rPr>
          <w:sz w:val="24"/>
          <w:szCs w:val="24"/>
        </w:rPr>
        <w:t>São três as interpretações possíveis. A primeira</w:t>
      </w:r>
      <w:r w:rsidR="00016318">
        <w:rPr>
          <w:sz w:val="24"/>
          <w:szCs w:val="24"/>
        </w:rPr>
        <w:t xml:space="preserve"> segue</w:t>
      </w:r>
      <w:r w:rsidR="00F3536E">
        <w:rPr>
          <w:sz w:val="24"/>
          <w:szCs w:val="24"/>
        </w:rPr>
        <w:t xml:space="preserve"> em uma linha restritiva, caminhando no sentido de que só podem ser considerados “insumos” as matérias-primas, produtos intermediários, materiais e embalagens e quaisquer bens </w:t>
      </w:r>
      <w:r w:rsidR="00A53C19">
        <w:rPr>
          <w:sz w:val="24"/>
          <w:szCs w:val="24"/>
        </w:rPr>
        <w:t xml:space="preserve">que se desgastem, danifiquem ou percam suas propriedades físicas ou químicas, em </w:t>
      </w:r>
      <w:r w:rsidR="002F7694">
        <w:rPr>
          <w:sz w:val="24"/>
          <w:szCs w:val="24"/>
        </w:rPr>
        <w:t>função da ação diretamente exercida sobre o produto em fabricação (exceto o imobilizado) e serviços prestados por pessoa jurídica brasileira, aplicados e/ou consumidos na produção e/ou fabricação ou na prestação de serviços, interpretação essa dada pelas instruções /normativas da Receita Federal nº 247</w:t>
      </w:r>
      <w:r w:rsidR="00FF6BDE">
        <w:rPr>
          <w:sz w:val="24"/>
          <w:szCs w:val="24"/>
        </w:rPr>
        <w:t>/2002, 358/2003 e 404/2004.</w:t>
      </w:r>
    </w:p>
    <w:p w14:paraId="7C5B278D" w14:textId="171FE10C" w:rsidR="00B84C9E" w:rsidRDefault="008B3C8E" w:rsidP="008B3C8E">
      <w:pPr>
        <w:tabs>
          <w:tab w:val="left" w:pos="1276"/>
        </w:tabs>
        <w:spacing w:before="120" w:after="120" w:line="360" w:lineRule="auto"/>
        <w:ind w:firstLine="851"/>
        <w:jc w:val="both"/>
        <w:rPr>
          <w:i/>
          <w:iCs/>
          <w:sz w:val="24"/>
          <w:szCs w:val="24"/>
        </w:rPr>
      </w:pPr>
      <w:r>
        <w:rPr>
          <w:sz w:val="24"/>
          <w:szCs w:val="24"/>
        </w:rPr>
        <w:t>A outra linha sustenta o posicionamento no sentido de que a regra da não-cumulatividade deve ser aplicada de forma ampla, seguindo em tese a determinação do § 12 do artigo 195 da Constituição Federal</w:t>
      </w:r>
      <w:r w:rsidR="009273ED">
        <w:rPr>
          <w:sz w:val="24"/>
          <w:szCs w:val="24"/>
        </w:rPr>
        <w:t xml:space="preserve">. </w:t>
      </w:r>
      <w:r>
        <w:rPr>
          <w:sz w:val="24"/>
          <w:szCs w:val="24"/>
        </w:rPr>
        <w:t xml:space="preserve">Por </w:t>
      </w:r>
      <w:r w:rsidR="00D172C9">
        <w:rPr>
          <w:sz w:val="24"/>
          <w:szCs w:val="24"/>
        </w:rPr>
        <w:t xml:space="preserve">lógica, entender ia-se como insumo todos os custos e despesas relacionados ao serviço prestado ou ao processo produtivo dos produtos. Assim, haveria justiça na aferição do </w:t>
      </w:r>
      <w:r w:rsidR="00D172C9" w:rsidRPr="00D172C9">
        <w:rPr>
          <w:i/>
          <w:iCs/>
          <w:sz w:val="24"/>
          <w:szCs w:val="24"/>
        </w:rPr>
        <w:t xml:space="preserve">“quantum </w:t>
      </w:r>
      <w:proofErr w:type="spellStart"/>
      <w:r w:rsidR="00D172C9" w:rsidRPr="00D172C9">
        <w:rPr>
          <w:i/>
          <w:iCs/>
          <w:sz w:val="24"/>
          <w:szCs w:val="24"/>
        </w:rPr>
        <w:t>debeatur</w:t>
      </w:r>
      <w:proofErr w:type="spellEnd"/>
      <w:r w:rsidR="00D172C9" w:rsidRPr="00D172C9">
        <w:rPr>
          <w:i/>
          <w:iCs/>
          <w:sz w:val="24"/>
          <w:szCs w:val="24"/>
        </w:rPr>
        <w:t>”.</w:t>
      </w:r>
    </w:p>
    <w:p w14:paraId="39FAEA8D" w14:textId="5041EC29" w:rsidR="00D172C9" w:rsidRDefault="00F16C32" w:rsidP="008B3C8E">
      <w:pPr>
        <w:tabs>
          <w:tab w:val="left" w:pos="1276"/>
        </w:tabs>
        <w:spacing w:before="120" w:after="120" w:line="360" w:lineRule="auto"/>
        <w:ind w:firstLine="851"/>
        <w:jc w:val="both"/>
        <w:rPr>
          <w:sz w:val="24"/>
          <w:szCs w:val="24"/>
        </w:rPr>
      </w:pPr>
      <w:r>
        <w:rPr>
          <w:sz w:val="24"/>
          <w:szCs w:val="24"/>
        </w:rPr>
        <w:lastRenderedPageBreak/>
        <w:t xml:space="preserve">O CARF, por sua vez, analisa o assunto de forma </w:t>
      </w:r>
      <w:proofErr w:type="gramStart"/>
      <w:r>
        <w:rPr>
          <w:sz w:val="24"/>
          <w:szCs w:val="24"/>
        </w:rPr>
        <w:t>à</w:t>
      </w:r>
      <w:proofErr w:type="gramEnd"/>
      <w:r>
        <w:rPr>
          <w:sz w:val="24"/>
          <w:szCs w:val="24"/>
        </w:rPr>
        <w:t xml:space="preserve"> analisar cada caso, direcionando sua atenção à essencialidade do produto para que o mesmo possa ser caracterizado como insumo. </w:t>
      </w:r>
    </w:p>
    <w:p w14:paraId="04E9F9AC" w14:textId="477E3396" w:rsidR="00F16C32" w:rsidRDefault="00F16C32" w:rsidP="008B3C8E">
      <w:pPr>
        <w:tabs>
          <w:tab w:val="left" w:pos="1276"/>
        </w:tabs>
        <w:spacing w:before="120" w:after="120" w:line="360" w:lineRule="auto"/>
        <w:ind w:firstLine="851"/>
        <w:jc w:val="both"/>
        <w:rPr>
          <w:sz w:val="24"/>
          <w:szCs w:val="24"/>
        </w:rPr>
      </w:pPr>
      <w:r>
        <w:rPr>
          <w:sz w:val="24"/>
          <w:szCs w:val="24"/>
        </w:rPr>
        <w:t xml:space="preserve">Minha opinião pessoal caminha com a segunda opção, ou seja, o conceito de “insumo” deve ser utilizado amplamente, abrangendo tudo que for utilizado e pago, direta ou indiretamente, para o desenvolvimento da atividade empresarial. </w:t>
      </w:r>
    </w:p>
    <w:p w14:paraId="7E1FFFD2" w14:textId="671A5606" w:rsidR="00B84C9E" w:rsidRDefault="00B94BF2" w:rsidP="00B4500C">
      <w:pPr>
        <w:tabs>
          <w:tab w:val="left" w:pos="1276"/>
        </w:tabs>
        <w:spacing w:before="120" w:after="120" w:line="360" w:lineRule="auto"/>
        <w:ind w:firstLine="851"/>
        <w:jc w:val="both"/>
        <w:rPr>
          <w:sz w:val="24"/>
          <w:szCs w:val="24"/>
        </w:rPr>
      </w:pPr>
      <w:r w:rsidRPr="00B400B2">
        <w:rPr>
          <w:sz w:val="24"/>
          <w:szCs w:val="24"/>
        </w:rPr>
        <w:t xml:space="preserve">O objetivo do legislador em tais dispositivos é muito claro e ao inserir o </w:t>
      </w:r>
      <w:r w:rsidR="00624B1C" w:rsidRPr="00B400B2">
        <w:rPr>
          <w:sz w:val="24"/>
          <w:szCs w:val="24"/>
        </w:rPr>
        <w:t>§</w:t>
      </w:r>
      <w:r w:rsidR="00527D6C" w:rsidRPr="00B400B2">
        <w:rPr>
          <w:sz w:val="24"/>
          <w:szCs w:val="24"/>
          <w:vertAlign w:val="superscript"/>
        </w:rPr>
        <w:t xml:space="preserve"> </w:t>
      </w:r>
      <w:r w:rsidR="00B92E36" w:rsidRPr="00B400B2">
        <w:rPr>
          <w:sz w:val="24"/>
          <w:szCs w:val="24"/>
        </w:rPr>
        <w:t>12 ao art. 195 da Carta Magna</w:t>
      </w:r>
      <w:r w:rsidR="00527D6C" w:rsidRPr="00B400B2">
        <w:rPr>
          <w:sz w:val="24"/>
          <w:szCs w:val="24"/>
        </w:rPr>
        <w:t xml:space="preserve">, impede-se tributação à maior, de forma que </w:t>
      </w:r>
      <w:r w:rsidR="00B400B2" w:rsidRPr="00B400B2">
        <w:rPr>
          <w:sz w:val="24"/>
          <w:szCs w:val="24"/>
        </w:rPr>
        <w:t>se alcança</w:t>
      </w:r>
      <w:r w:rsidR="00527D6C" w:rsidRPr="00B400B2">
        <w:rPr>
          <w:sz w:val="24"/>
          <w:szCs w:val="24"/>
        </w:rPr>
        <w:t xml:space="preserve"> a justiça tributária</w:t>
      </w:r>
      <w:r w:rsidR="00B400B2">
        <w:rPr>
          <w:sz w:val="24"/>
          <w:szCs w:val="24"/>
        </w:rPr>
        <w:t>.</w:t>
      </w:r>
      <w:r w:rsidR="00527D6C" w:rsidRPr="00B400B2">
        <w:rPr>
          <w:sz w:val="24"/>
          <w:szCs w:val="24"/>
        </w:rPr>
        <w:t xml:space="preserve"> </w:t>
      </w:r>
    </w:p>
    <w:p w14:paraId="42D56815" w14:textId="77777777" w:rsidR="008B52A7" w:rsidRPr="00B4500C" w:rsidRDefault="008B52A7" w:rsidP="00B4500C">
      <w:pPr>
        <w:tabs>
          <w:tab w:val="left" w:pos="1276"/>
        </w:tabs>
        <w:spacing w:before="120" w:after="120" w:line="360" w:lineRule="auto"/>
        <w:ind w:firstLine="851"/>
        <w:jc w:val="both"/>
        <w:rPr>
          <w:sz w:val="24"/>
          <w:szCs w:val="24"/>
          <w:vertAlign w:val="superscript"/>
        </w:rPr>
      </w:pPr>
    </w:p>
    <w:p w14:paraId="702A2361" w14:textId="2C3BD204" w:rsidR="00844220" w:rsidRPr="002716E7" w:rsidRDefault="00A53121" w:rsidP="004C334E">
      <w:pPr>
        <w:numPr>
          <w:ilvl w:val="0"/>
          <w:numId w:val="16"/>
        </w:numPr>
        <w:tabs>
          <w:tab w:val="left" w:pos="851"/>
        </w:tabs>
        <w:spacing w:before="120"/>
        <w:ind w:left="1276" w:hanging="425"/>
        <w:jc w:val="both"/>
        <w:rPr>
          <w:b/>
          <w:bCs/>
          <w:sz w:val="24"/>
          <w:szCs w:val="24"/>
        </w:rPr>
      </w:pPr>
      <w:r w:rsidRPr="00EC1AEC">
        <w:rPr>
          <w:b/>
          <w:bCs/>
          <w:sz w:val="24"/>
          <w:szCs w:val="24"/>
        </w:rPr>
        <w:t xml:space="preserve">Considere situação em que se tem uma empresa cuja atividade compreende serviços de pesquisa de mercado. Podem ser descontados, a título de insumos, créditos de PIS e COFINS relativos a gastos com telefone, combustíveis e lubrificantes, hospedagem, passagens aéreas e terrestres? Justificar.  </w:t>
      </w:r>
    </w:p>
    <w:p w14:paraId="03D8C455" w14:textId="57A08825" w:rsidR="00EC1AEC" w:rsidRDefault="00F86413" w:rsidP="00EC1AEC">
      <w:pPr>
        <w:tabs>
          <w:tab w:val="left" w:pos="1276"/>
        </w:tabs>
        <w:spacing w:before="120" w:after="120" w:line="360" w:lineRule="auto"/>
        <w:ind w:firstLine="851"/>
        <w:jc w:val="both"/>
        <w:rPr>
          <w:sz w:val="24"/>
          <w:szCs w:val="24"/>
        </w:rPr>
      </w:pPr>
      <w:r w:rsidRPr="00F86413">
        <w:rPr>
          <w:sz w:val="24"/>
          <w:szCs w:val="24"/>
        </w:rPr>
        <w:t>No regime não cumulativo da Contribuição para o PIS e da COFINS, as empresas têm direito a descontar créditos relativos a insumos que foram utilizados na produção de bens ou na prestação de serviços. No entanto, é importante analisar se os gastos mencionados - telefone, combustíveis e lubrificantes, hospedagem, passagens aéreas e terrestres - se enquadram como insumos para a atividade de pesquisa de mercado.</w:t>
      </w:r>
      <w:r w:rsidR="00EC1AEC" w:rsidRPr="00B400B2">
        <w:rPr>
          <w:sz w:val="24"/>
          <w:szCs w:val="24"/>
        </w:rPr>
        <w:t xml:space="preserve"> </w:t>
      </w:r>
      <w:r w:rsidR="004C334E">
        <w:rPr>
          <w:sz w:val="24"/>
          <w:szCs w:val="24"/>
        </w:rPr>
        <w:t>Ou seja, é necessário analisar cada</w:t>
      </w:r>
      <w:r w:rsidR="00D85891">
        <w:rPr>
          <w:sz w:val="24"/>
          <w:szCs w:val="24"/>
        </w:rPr>
        <w:t xml:space="preserve"> um dos gastos no caso a caso. </w:t>
      </w:r>
    </w:p>
    <w:p w14:paraId="7B6E30C3" w14:textId="60A131AB" w:rsidR="00D85891" w:rsidRDefault="00D85891" w:rsidP="00D85891">
      <w:pPr>
        <w:tabs>
          <w:tab w:val="left" w:pos="1276"/>
        </w:tabs>
        <w:spacing w:before="120" w:after="120" w:line="360" w:lineRule="auto"/>
        <w:ind w:firstLine="851"/>
        <w:jc w:val="both"/>
        <w:rPr>
          <w:sz w:val="24"/>
          <w:szCs w:val="24"/>
        </w:rPr>
      </w:pPr>
      <w:r>
        <w:rPr>
          <w:sz w:val="24"/>
          <w:szCs w:val="24"/>
        </w:rPr>
        <w:t xml:space="preserve">Se o telefone é utilizado </w:t>
      </w:r>
      <w:r w:rsidRPr="00D85891">
        <w:rPr>
          <w:sz w:val="24"/>
          <w:szCs w:val="24"/>
        </w:rPr>
        <w:t>diretamente na realização das atividades de pesquisa de mercado, como para contatar clientes, fornecedores ou realizar entrevistas, pode ser considerado um insumo e gerar créditos.</w:t>
      </w:r>
    </w:p>
    <w:p w14:paraId="1D1D5A32" w14:textId="1670136C" w:rsidR="00D85891" w:rsidRDefault="00B236C3" w:rsidP="00D85891">
      <w:pPr>
        <w:tabs>
          <w:tab w:val="left" w:pos="1276"/>
        </w:tabs>
        <w:spacing w:before="120" w:after="120" w:line="360" w:lineRule="auto"/>
        <w:ind w:firstLine="851"/>
        <w:jc w:val="both"/>
        <w:rPr>
          <w:sz w:val="24"/>
          <w:szCs w:val="24"/>
        </w:rPr>
      </w:pPr>
      <w:r>
        <w:rPr>
          <w:sz w:val="24"/>
          <w:szCs w:val="24"/>
        </w:rPr>
        <w:t>Caso a</w:t>
      </w:r>
      <w:r w:rsidR="00D85891">
        <w:rPr>
          <w:sz w:val="24"/>
          <w:szCs w:val="24"/>
        </w:rPr>
        <w:t xml:space="preserve"> empresa </w:t>
      </w:r>
      <w:r w:rsidRPr="00B236C3">
        <w:rPr>
          <w:sz w:val="24"/>
          <w:szCs w:val="24"/>
        </w:rPr>
        <w:t>utiliz</w:t>
      </w:r>
      <w:r>
        <w:rPr>
          <w:sz w:val="24"/>
          <w:szCs w:val="24"/>
        </w:rPr>
        <w:t>e</w:t>
      </w:r>
      <w:r w:rsidRPr="00B236C3">
        <w:rPr>
          <w:sz w:val="24"/>
          <w:szCs w:val="24"/>
        </w:rPr>
        <w:t xml:space="preserve"> veículos para deslocamento dos pesquisadores ou para o transporte de equipamentos relacionados à pesquisa de mercado, os gastos com combustíveis e lubrificantes podem ser considerados insumos elegíveis para créditos.</w:t>
      </w:r>
    </w:p>
    <w:p w14:paraId="487A0E4E" w14:textId="39213AA4" w:rsidR="00B236C3" w:rsidRDefault="00B236C3" w:rsidP="00D85891">
      <w:pPr>
        <w:tabs>
          <w:tab w:val="left" w:pos="1276"/>
        </w:tabs>
        <w:spacing w:before="120" w:after="120" w:line="360" w:lineRule="auto"/>
        <w:ind w:firstLine="851"/>
        <w:jc w:val="both"/>
        <w:rPr>
          <w:sz w:val="24"/>
          <w:szCs w:val="24"/>
        </w:rPr>
      </w:pPr>
      <w:r>
        <w:rPr>
          <w:sz w:val="24"/>
          <w:szCs w:val="24"/>
        </w:rPr>
        <w:t xml:space="preserve">Se a </w:t>
      </w:r>
      <w:r w:rsidR="008E06D1" w:rsidRPr="008E06D1">
        <w:rPr>
          <w:sz w:val="24"/>
          <w:szCs w:val="24"/>
        </w:rPr>
        <w:t>empresa precisa hospedar seus funcionários durante viagens relacionadas à pesquisa de mercado, os gastos com hospedagem podem ser considerados insumos.</w:t>
      </w:r>
    </w:p>
    <w:p w14:paraId="7695958E" w14:textId="4C1F846C" w:rsidR="008B52A7" w:rsidRPr="008E06D1" w:rsidRDefault="008E06D1" w:rsidP="008B52A7">
      <w:pPr>
        <w:tabs>
          <w:tab w:val="left" w:pos="1276"/>
        </w:tabs>
        <w:spacing w:before="120" w:after="120" w:line="360" w:lineRule="auto"/>
        <w:ind w:firstLine="851"/>
        <w:jc w:val="both"/>
        <w:rPr>
          <w:sz w:val="24"/>
          <w:szCs w:val="24"/>
        </w:rPr>
      </w:pPr>
      <w:r>
        <w:rPr>
          <w:sz w:val="24"/>
          <w:szCs w:val="24"/>
        </w:rPr>
        <w:lastRenderedPageBreak/>
        <w:t xml:space="preserve">Por fim, </w:t>
      </w:r>
      <w:r w:rsidR="0078630D">
        <w:rPr>
          <w:sz w:val="24"/>
          <w:szCs w:val="24"/>
        </w:rPr>
        <w:t>caso</w:t>
      </w:r>
      <w:r w:rsidRPr="008E06D1">
        <w:rPr>
          <w:sz w:val="24"/>
          <w:szCs w:val="24"/>
        </w:rPr>
        <w:t xml:space="preserve"> a empresa precisa realizar viagens para coletar dados ou para participar de eventos relacionados à pesquisa de mercado, os gastos com passagens aéreas e terrestres podem ser considerados insumos.</w:t>
      </w:r>
    </w:p>
    <w:p w14:paraId="74FB434E" w14:textId="4E038A7F" w:rsidR="00C0537F" w:rsidRPr="003A2FD8" w:rsidRDefault="00C0537F" w:rsidP="00375742">
      <w:pPr>
        <w:numPr>
          <w:ilvl w:val="0"/>
          <w:numId w:val="11"/>
        </w:numPr>
        <w:tabs>
          <w:tab w:val="clear" w:pos="360"/>
          <w:tab w:val="num" w:pos="426"/>
        </w:tabs>
        <w:spacing w:before="120"/>
        <w:ind w:left="425" w:hanging="425"/>
        <w:jc w:val="both"/>
        <w:rPr>
          <w:b/>
          <w:bCs/>
          <w:sz w:val="24"/>
          <w:szCs w:val="24"/>
        </w:rPr>
      </w:pPr>
      <w:r w:rsidRPr="003A2FD8">
        <w:rPr>
          <w:b/>
          <w:bCs/>
          <w:sz w:val="24"/>
          <w:szCs w:val="24"/>
        </w:rPr>
        <w:t xml:space="preserve">Nos termos da </w:t>
      </w:r>
      <w:r w:rsidR="00C55A29" w:rsidRPr="003A2FD8">
        <w:rPr>
          <w:b/>
          <w:bCs/>
          <w:sz w:val="24"/>
          <w:szCs w:val="24"/>
        </w:rPr>
        <w:t>Emenda Constitucional nº. 132/2023</w:t>
      </w:r>
      <w:r w:rsidRPr="003A2FD8">
        <w:rPr>
          <w:b/>
          <w:bCs/>
          <w:sz w:val="24"/>
          <w:szCs w:val="24"/>
        </w:rPr>
        <w:t>, o PIS e a COFINS serão substituídos pela CBS.</w:t>
      </w:r>
      <w:r w:rsidR="00941DAE" w:rsidRPr="003A2FD8">
        <w:rPr>
          <w:b/>
          <w:bCs/>
          <w:sz w:val="24"/>
          <w:szCs w:val="24"/>
        </w:rPr>
        <w:t xml:space="preserve"> A respeito dessa contribuição, pergunta-se:</w:t>
      </w:r>
    </w:p>
    <w:p w14:paraId="11F9B1F7" w14:textId="3917EBF1" w:rsidR="000B66CE" w:rsidRPr="000B66CE" w:rsidRDefault="00941DAE" w:rsidP="000B66CE">
      <w:pPr>
        <w:pStyle w:val="PargrafodaLista"/>
        <w:numPr>
          <w:ilvl w:val="0"/>
          <w:numId w:val="31"/>
        </w:numPr>
        <w:tabs>
          <w:tab w:val="left" w:pos="851"/>
        </w:tabs>
        <w:spacing w:before="120"/>
        <w:contextualSpacing w:val="0"/>
        <w:jc w:val="both"/>
        <w:rPr>
          <w:b/>
          <w:bCs/>
          <w:sz w:val="24"/>
          <w:szCs w:val="24"/>
        </w:rPr>
      </w:pPr>
      <w:r w:rsidRPr="008B0587">
        <w:rPr>
          <w:b/>
          <w:bCs/>
          <w:sz w:val="24"/>
          <w:szCs w:val="24"/>
        </w:rPr>
        <w:t>Qual sua hipótese de incidência tributária?</w:t>
      </w:r>
    </w:p>
    <w:p w14:paraId="7BC6BD0F" w14:textId="418436BA" w:rsidR="000B66CE" w:rsidRDefault="000B66CE" w:rsidP="008C36B1">
      <w:pPr>
        <w:tabs>
          <w:tab w:val="left" w:pos="1276"/>
        </w:tabs>
        <w:spacing w:before="120" w:after="120" w:line="360" w:lineRule="auto"/>
        <w:ind w:firstLine="851"/>
        <w:jc w:val="both"/>
        <w:rPr>
          <w:sz w:val="24"/>
          <w:szCs w:val="24"/>
        </w:rPr>
      </w:pPr>
      <w:r>
        <w:rPr>
          <w:sz w:val="24"/>
          <w:szCs w:val="24"/>
        </w:rPr>
        <w:t>Com a Emenda Constitucional nº 132/</w:t>
      </w:r>
      <w:r w:rsidR="00E16A81">
        <w:rPr>
          <w:sz w:val="24"/>
          <w:szCs w:val="24"/>
        </w:rPr>
        <w:t xml:space="preserve">2023, ocorre a reforma tributária, nela </w:t>
      </w:r>
      <w:r w:rsidR="00E16A81" w:rsidRPr="00E16A81">
        <w:rPr>
          <w:sz w:val="24"/>
          <w:szCs w:val="24"/>
        </w:rPr>
        <w:t>PIS (Programa de Integração Social) e a COFINS (Contribuição para o Financiamento da Seguridade Social)</w:t>
      </w:r>
      <w:r w:rsidR="0040226E">
        <w:rPr>
          <w:sz w:val="24"/>
          <w:szCs w:val="24"/>
        </w:rPr>
        <w:t xml:space="preserve">, </w:t>
      </w:r>
      <w:r w:rsidR="0040226E" w:rsidRPr="0040226E">
        <w:rPr>
          <w:sz w:val="24"/>
          <w:szCs w:val="24"/>
        </w:rPr>
        <w:t xml:space="preserve">inclusive incidentes na importação, são substituídos pela </w:t>
      </w:r>
      <w:r w:rsidR="007F7059">
        <w:rPr>
          <w:sz w:val="24"/>
          <w:szCs w:val="24"/>
        </w:rPr>
        <w:t>C</w:t>
      </w:r>
      <w:r w:rsidR="0040226E" w:rsidRPr="0040226E">
        <w:rPr>
          <w:sz w:val="24"/>
          <w:szCs w:val="24"/>
        </w:rPr>
        <w:t xml:space="preserve">ontribuição sobre </w:t>
      </w:r>
      <w:r w:rsidR="007F7059">
        <w:rPr>
          <w:sz w:val="24"/>
          <w:szCs w:val="24"/>
        </w:rPr>
        <w:t>B</w:t>
      </w:r>
      <w:r w:rsidR="0040226E" w:rsidRPr="0040226E">
        <w:rPr>
          <w:sz w:val="24"/>
          <w:szCs w:val="24"/>
        </w:rPr>
        <w:t xml:space="preserve">ens e </w:t>
      </w:r>
      <w:r w:rsidR="007F7059">
        <w:rPr>
          <w:sz w:val="24"/>
          <w:szCs w:val="24"/>
        </w:rPr>
        <w:t>S</w:t>
      </w:r>
      <w:r w:rsidR="0040226E" w:rsidRPr="0040226E">
        <w:rPr>
          <w:sz w:val="24"/>
          <w:szCs w:val="24"/>
        </w:rPr>
        <w:t xml:space="preserve">erviços (CBS) projetando-se, assim, uma nova </w:t>
      </w:r>
      <w:r w:rsidR="007F7059">
        <w:rPr>
          <w:sz w:val="24"/>
          <w:szCs w:val="24"/>
        </w:rPr>
        <w:t>R</w:t>
      </w:r>
      <w:r w:rsidR="0040226E" w:rsidRPr="0040226E">
        <w:rPr>
          <w:sz w:val="24"/>
          <w:szCs w:val="24"/>
        </w:rPr>
        <w:t>egra</w:t>
      </w:r>
      <w:r w:rsidR="007F7059">
        <w:rPr>
          <w:sz w:val="24"/>
          <w:szCs w:val="24"/>
        </w:rPr>
        <w:t xml:space="preserve"> M</w:t>
      </w:r>
      <w:r w:rsidR="0040226E" w:rsidRPr="0040226E">
        <w:rPr>
          <w:sz w:val="24"/>
          <w:szCs w:val="24"/>
        </w:rPr>
        <w:t xml:space="preserve">atriz de </w:t>
      </w:r>
      <w:r w:rsidR="007F7059">
        <w:rPr>
          <w:sz w:val="24"/>
          <w:szCs w:val="24"/>
        </w:rPr>
        <w:t>I</w:t>
      </w:r>
      <w:r w:rsidR="0040226E" w:rsidRPr="0040226E">
        <w:rPr>
          <w:sz w:val="24"/>
          <w:szCs w:val="24"/>
        </w:rPr>
        <w:t xml:space="preserve">ncidência </w:t>
      </w:r>
      <w:r w:rsidR="007F7059">
        <w:rPr>
          <w:sz w:val="24"/>
          <w:szCs w:val="24"/>
        </w:rPr>
        <w:t>T</w:t>
      </w:r>
      <w:r w:rsidR="0040226E" w:rsidRPr="0040226E">
        <w:rPr>
          <w:sz w:val="24"/>
          <w:szCs w:val="24"/>
        </w:rPr>
        <w:t>ributária</w:t>
      </w:r>
      <w:r w:rsidR="00C16B94">
        <w:rPr>
          <w:sz w:val="24"/>
          <w:szCs w:val="24"/>
        </w:rPr>
        <w:t>.</w:t>
      </w:r>
    </w:p>
    <w:p w14:paraId="7733B3AE" w14:textId="45F2E2F5" w:rsidR="00513426" w:rsidRDefault="003756FE" w:rsidP="008C36B1">
      <w:pPr>
        <w:tabs>
          <w:tab w:val="left" w:pos="1276"/>
        </w:tabs>
        <w:spacing w:before="120" w:after="120" w:line="360" w:lineRule="auto"/>
        <w:ind w:firstLine="851"/>
        <w:jc w:val="both"/>
        <w:rPr>
          <w:sz w:val="24"/>
          <w:szCs w:val="24"/>
        </w:rPr>
      </w:pPr>
      <w:r>
        <w:rPr>
          <w:sz w:val="24"/>
          <w:szCs w:val="24"/>
        </w:rPr>
        <w:t xml:space="preserve">A </w:t>
      </w:r>
      <w:r w:rsidRPr="003756FE">
        <w:rPr>
          <w:sz w:val="24"/>
          <w:szCs w:val="24"/>
        </w:rPr>
        <w:t>Regra Matriz de Incidência Tributária (RMIT), foi idealizada pelo professor Pau</w:t>
      </w:r>
      <w:r w:rsidR="006E22F9">
        <w:rPr>
          <w:sz w:val="24"/>
          <w:szCs w:val="24"/>
        </w:rPr>
        <w:t xml:space="preserve">lo de Barros Carvalho diante do chamado </w:t>
      </w:r>
      <w:r w:rsidR="007F7E7D" w:rsidRPr="007F7E7D">
        <w:rPr>
          <w:sz w:val="24"/>
          <w:szCs w:val="24"/>
        </w:rPr>
        <w:t xml:space="preserve">constructivismo lógico-semântico, trazendo no seu antecedente a descrição do fato jurídico tributário </w:t>
      </w:r>
      <w:r w:rsidR="007342E5">
        <w:rPr>
          <w:sz w:val="24"/>
          <w:szCs w:val="24"/>
        </w:rPr>
        <w:t xml:space="preserve">através dos critérios material, espacial e temporal </w:t>
      </w:r>
      <w:r w:rsidR="007F7E7D" w:rsidRPr="007F7E7D">
        <w:rPr>
          <w:sz w:val="24"/>
          <w:szCs w:val="24"/>
        </w:rPr>
        <w:t>e em seu consequente a prescrição ao sujeito passivo do dever em levar dinheiro aos cofres públicos (hipótese de incidência/obrigação tributária)</w:t>
      </w:r>
      <w:r w:rsidR="0073016D">
        <w:rPr>
          <w:sz w:val="24"/>
          <w:szCs w:val="24"/>
        </w:rPr>
        <w:t xml:space="preserve">, trazendo os critérios </w:t>
      </w:r>
      <w:r w:rsidR="00DA5035">
        <w:rPr>
          <w:sz w:val="24"/>
          <w:szCs w:val="24"/>
        </w:rPr>
        <w:t>pessoal (sujeito</w:t>
      </w:r>
      <w:r w:rsidR="005F52D2">
        <w:rPr>
          <w:sz w:val="24"/>
          <w:szCs w:val="24"/>
        </w:rPr>
        <w:t xml:space="preserve"> ativo e passivo)</w:t>
      </w:r>
      <w:r w:rsidR="00DA5035">
        <w:rPr>
          <w:sz w:val="24"/>
          <w:szCs w:val="24"/>
        </w:rPr>
        <w:t xml:space="preserve"> e </w:t>
      </w:r>
      <w:r w:rsidR="005F52D2">
        <w:rPr>
          <w:sz w:val="24"/>
          <w:szCs w:val="24"/>
        </w:rPr>
        <w:t>quantitativo (base de cálculo e alíquota).</w:t>
      </w:r>
    </w:p>
    <w:p w14:paraId="2B2F0DB0" w14:textId="2A5C29BD" w:rsidR="008E06D1" w:rsidRDefault="0022620B" w:rsidP="000C1C74">
      <w:pPr>
        <w:tabs>
          <w:tab w:val="left" w:pos="1276"/>
        </w:tabs>
        <w:spacing w:before="120" w:after="120" w:line="360" w:lineRule="auto"/>
        <w:ind w:firstLine="851"/>
        <w:jc w:val="both"/>
        <w:rPr>
          <w:sz w:val="24"/>
          <w:szCs w:val="24"/>
        </w:rPr>
      </w:pPr>
      <w:r>
        <w:rPr>
          <w:sz w:val="24"/>
          <w:szCs w:val="24"/>
        </w:rPr>
        <w:t xml:space="preserve">Sendo assim, conclui-se que a hipótese de incidência </w:t>
      </w:r>
      <w:r w:rsidR="002F079A">
        <w:rPr>
          <w:sz w:val="24"/>
          <w:szCs w:val="24"/>
        </w:rPr>
        <w:t>se refere</w:t>
      </w:r>
      <w:r>
        <w:rPr>
          <w:sz w:val="24"/>
          <w:szCs w:val="24"/>
        </w:rPr>
        <w:t xml:space="preserve"> à descrição contida na lei suficiente ao nascimento da obrigação tributária,</w:t>
      </w:r>
      <w:r w:rsidR="002F079A">
        <w:rPr>
          <w:sz w:val="24"/>
          <w:szCs w:val="24"/>
        </w:rPr>
        <w:t xml:space="preserve"> enquanto o fato gerador é a ocorrência do evento propriamente dito.</w:t>
      </w:r>
    </w:p>
    <w:p w14:paraId="0AE892B9" w14:textId="36B14356" w:rsidR="006D7BF3" w:rsidRDefault="006D7BF3" w:rsidP="000C1C74">
      <w:pPr>
        <w:tabs>
          <w:tab w:val="left" w:pos="1276"/>
        </w:tabs>
        <w:spacing w:before="120" w:after="120" w:line="360" w:lineRule="auto"/>
        <w:ind w:firstLine="851"/>
        <w:jc w:val="both"/>
        <w:rPr>
          <w:sz w:val="24"/>
          <w:szCs w:val="24"/>
        </w:rPr>
      </w:pPr>
      <w:r>
        <w:rPr>
          <w:sz w:val="24"/>
          <w:szCs w:val="24"/>
        </w:rPr>
        <w:t xml:space="preserve">Destaca-se que para a CBS </w:t>
      </w:r>
      <w:r w:rsidR="00252A7E" w:rsidRPr="00252A7E">
        <w:rPr>
          <w:sz w:val="24"/>
          <w:szCs w:val="24"/>
        </w:rPr>
        <w:t>(Contribuição sobre Bens e Serviços),</w:t>
      </w:r>
      <w:r w:rsidR="00252A7E">
        <w:rPr>
          <w:sz w:val="24"/>
          <w:szCs w:val="24"/>
        </w:rPr>
        <w:t xml:space="preserve"> a Regra Matriz de Incidência Tributária, não está definitivamente estabelecida</w:t>
      </w:r>
      <w:r w:rsidR="00433FD0">
        <w:rPr>
          <w:sz w:val="24"/>
          <w:szCs w:val="24"/>
        </w:rPr>
        <w:t xml:space="preserve">, mas acredita-se que ela seria composta por elementos semelhantes a outros tributos com o valor agregado, como o ICMS </w:t>
      </w:r>
      <w:r w:rsidR="009E2D04" w:rsidRPr="009E2D04">
        <w:rPr>
          <w:sz w:val="24"/>
          <w:szCs w:val="24"/>
        </w:rPr>
        <w:t>(Imposto sobre Circulação de Mercadorias e Serviços) e o IPI (Imposto sobre Produtos Industrializados).</w:t>
      </w:r>
    </w:p>
    <w:p w14:paraId="57BB2FB8" w14:textId="1400E123" w:rsidR="004D4FE0" w:rsidRDefault="004D4FE0" w:rsidP="004D4FE0">
      <w:pPr>
        <w:tabs>
          <w:tab w:val="left" w:pos="1276"/>
        </w:tabs>
        <w:spacing w:before="120" w:after="120" w:line="360" w:lineRule="auto"/>
        <w:ind w:firstLine="851"/>
        <w:jc w:val="both"/>
        <w:rPr>
          <w:sz w:val="24"/>
          <w:szCs w:val="24"/>
        </w:rPr>
      </w:pPr>
      <w:r>
        <w:rPr>
          <w:sz w:val="24"/>
          <w:szCs w:val="24"/>
        </w:rPr>
        <w:t>Assim, podemos imaginar que a hipótese de incidência da Regra Matriz de Incidência Tributária, da CBS será:</w:t>
      </w:r>
    </w:p>
    <w:p w14:paraId="5635A6BF" w14:textId="77777777" w:rsidR="004D4FE0" w:rsidRDefault="004D4FE0" w:rsidP="004D4FE0">
      <w:pPr>
        <w:tabs>
          <w:tab w:val="left" w:pos="1276"/>
        </w:tabs>
        <w:spacing w:before="120" w:after="120" w:line="360" w:lineRule="auto"/>
        <w:ind w:firstLine="851"/>
        <w:jc w:val="both"/>
        <w:rPr>
          <w:sz w:val="24"/>
          <w:szCs w:val="24"/>
        </w:rPr>
      </w:pPr>
    </w:p>
    <w:p w14:paraId="432286F3" w14:textId="77777777" w:rsidR="004D4FE0" w:rsidRDefault="004D4FE0" w:rsidP="004D4FE0">
      <w:pPr>
        <w:tabs>
          <w:tab w:val="left" w:pos="1276"/>
        </w:tabs>
        <w:spacing w:before="120" w:after="120" w:line="360" w:lineRule="auto"/>
        <w:ind w:firstLine="851"/>
        <w:jc w:val="both"/>
        <w:rPr>
          <w:sz w:val="24"/>
          <w:szCs w:val="24"/>
        </w:rPr>
      </w:pPr>
      <w:r>
        <w:rPr>
          <w:noProof/>
          <w:sz w:val="24"/>
          <w:szCs w:val="24"/>
        </w:rPr>
        <w:lastRenderedPageBreak/>
        <mc:AlternateContent>
          <mc:Choice Requires="wps">
            <w:drawing>
              <wp:anchor distT="0" distB="0" distL="114300" distR="114300" simplePos="0" relativeHeight="251661312" behindDoc="0" locked="0" layoutInCell="1" allowOverlap="1" wp14:anchorId="08F38E56" wp14:editId="3F42FB44">
                <wp:simplePos x="0" y="0"/>
                <wp:positionH relativeFrom="column">
                  <wp:posOffset>1203380</wp:posOffset>
                </wp:positionH>
                <wp:positionV relativeFrom="paragraph">
                  <wp:posOffset>108418</wp:posOffset>
                </wp:positionV>
                <wp:extent cx="380172" cy="2585831"/>
                <wp:effectExtent l="57150" t="38100" r="58420" b="100330"/>
                <wp:wrapNone/>
                <wp:docPr id="1781880089" name="Chave Esquerda 1"/>
                <wp:cNvGraphicFramePr/>
                <a:graphic xmlns:a="http://schemas.openxmlformats.org/drawingml/2006/main">
                  <a:graphicData uri="http://schemas.microsoft.com/office/word/2010/wordprocessingShape">
                    <wps:wsp>
                      <wps:cNvSpPr/>
                      <wps:spPr>
                        <a:xfrm>
                          <a:off x="0" y="0"/>
                          <a:ext cx="380172" cy="2585831"/>
                        </a:xfrm>
                        <a:prstGeom prst="leftBrace">
                          <a:avLst/>
                        </a:prstGeom>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DEF4D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Chave Esquerda 1" o:spid="_x0000_s1026" type="#_x0000_t87" style="position:absolute;margin-left:94.75pt;margin-top:8.55pt;width:29.95pt;height:20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" adj="265" strokecolor="black [3200]" strokeweight="2pt">
                <v:shadow on="t" color="black" opacity="24903f" origin=",.5" offset="0,.55556mm"/>
              </v:shape>
            </w:pict>
          </mc:Fallback>
        </mc:AlternateContent>
      </w:r>
    </w:p>
    <w:p w14:paraId="1EA001B4" w14:textId="77777777" w:rsidR="004D4FE0" w:rsidRPr="00FA26B8" w:rsidRDefault="004D4FE0" w:rsidP="004D4FE0">
      <w:pPr>
        <w:tabs>
          <w:tab w:val="left" w:pos="1276"/>
        </w:tabs>
        <w:spacing w:before="120" w:after="120"/>
        <w:ind w:firstLine="851"/>
        <w:jc w:val="both"/>
        <w:rPr>
          <w:sz w:val="24"/>
          <w:szCs w:val="24"/>
          <w:u w:val="double"/>
        </w:rPr>
      </w:pPr>
      <w:r>
        <w:rPr>
          <w:sz w:val="24"/>
          <w:szCs w:val="24"/>
        </w:rPr>
        <w:t xml:space="preserve">HIPÓTESE          (i)   </w:t>
      </w:r>
      <w:r w:rsidRPr="00FA26B8">
        <w:rPr>
          <w:sz w:val="24"/>
          <w:szCs w:val="24"/>
          <w:u w:val="double"/>
        </w:rPr>
        <w:t>Critério Material (verbo + complemento)</w:t>
      </w:r>
    </w:p>
    <w:p w14:paraId="0A47369F" w14:textId="660B150B" w:rsidR="004D4FE0" w:rsidRDefault="004D4FE0" w:rsidP="004D4FE0">
      <w:pPr>
        <w:tabs>
          <w:tab w:val="left" w:pos="1276"/>
        </w:tabs>
        <w:ind w:firstLine="851"/>
        <w:jc w:val="both"/>
        <w:rPr>
          <w:sz w:val="24"/>
          <w:szCs w:val="24"/>
        </w:rPr>
      </w:pPr>
      <w:r>
        <w:rPr>
          <w:sz w:val="24"/>
          <w:szCs w:val="24"/>
        </w:rPr>
        <w:t xml:space="preserve">     (H)                    </w:t>
      </w:r>
      <w:r w:rsidRPr="004D4FE0">
        <w:rPr>
          <w:sz w:val="24"/>
          <w:szCs w:val="24"/>
        </w:rPr>
        <w:t xml:space="preserve">a CBS incidirá sobre a circulação de bens e a prestação </w:t>
      </w:r>
      <w:r>
        <w:rPr>
          <w:sz w:val="24"/>
          <w:szCs w:val="24"/>
        </w:rPr>
        <w:t xml:space="preserve">     </w:t>
      </w:r>
    </w:p>
    <w:p w14:paraId="7B6E1FAB" w14:textId="10222B5B" w:rsidR="004D4FE0" w:rsidRDefault="004D4FE0" w:rsidP="004D4FE0">
      <w:pPr>
        <w:tabs>
          <w:tab w:val="left" w:pos="1276"/>
        </w:tabs>
        <w:ind w:firstLine="851"/>
        <w:jc w:val="both"/>
        <w:rPr>
          <w:sz w:val="24"/>
          <w:szCs w:val="24"/>
        </w:rPr>
      </w:pPr>
      <w:r>
        <w:rPr>
          <w:sz w:val="24"/>
          <w:szCs w:val="24"/>
        </w:rPr>
        <w:t xml:space="preserve">                              de </w:t>
      </w:r>
      <w:r w:rsidRPr="004D4FE0">
        <w:rPr>
          <w:sz w:val="24"/>
          <w:szCs w:val="24"/>
        </w:rPr>
        <w:t>serviços no território nacional.</w:t>
      </w:r>
    </w:p>
    <w:p w14:paraId="092F9071" w14:textId="1713F5FA" w:rsidR="004D4FE0" w:rsidRPr="004D4FE0" w:rsidRDefault="004D4FE0" w:rsidP="004D4FE0">
      <w:pPr>
        <w:tabs>
          <w:tab w:val="left" w:pos="1276"/>
        </w:tabs>
        <w:spacing w:before="120" w:after="120"/>
        <w:ind w:firstLine="851"/>
        <w:jc w:val="both"/>
        <w:rPr>
          <w:sz w:val="24"/>
          <w:szCs w:val="24"/>
          <w:u w:val="double"/>
        </w:rPr>
      </w:pPr>
      <w:r>
        <w:rPr>
          <w:sz w:val="24"/>
          <w:szCs w:val="24"/>
        </w:rPr>
        <w:t xml:space="preserve">                             (</w:t>
      </w:r>
      <w:proofErr w:type="spellStart"/>
      <w:r>
        <w:rPr>
          <w:sz w:val="24"/>
          <w:szCs w:val="24"/>
        </w:rPr>
        <w:t>ii</w:t>
      </w:r>
      <w:proofErr w:type="spellEnd"/>
      <w:r>
        <w:rPr>
          <w:sz w:val="24"/>
          <w:szCs w:val="24"/>
        </w:rPr>
        <w:t xml:space="preserve">)  </w:t>
      </w:r>
      <w:proofErr w:type="gramStart"/>
      <w:r w:rsidRPr="001325FF">
        <w:rPr>
          <w:sz w:val="24"/>
          <w:szCs w:val="24"/>
          <w:u w:val="double"/>
        </w:rPr>
        <w:t>Critério  Esp</w:t>
      </w:r>
      <w:r>
        <w:rPr>
          <w:sz w:val="24"/>
          <w:szCs w:val="24"/>
          <w:u w:val="double"/>
        </w:rPr>
        <w:t>acial</w:t>
      </w:r>
      <w:proofErr w:type="gramEnd"/>
      <w:r>
        <w:rPr>
          <w:sz w:val="24"/>
          <w:szCs w:val="24"/>
        </w:rPr>
        <w:t xml:space="preserve">        </w:t>
      </w:r>
    </w:p>
    <w:p w14:paraId="75438839" w14:textId="72EBB92B" w:rsidR="004D4FE0" w:rsidRDefault="004D4FE0" w:rsidP="004D4FE0">
      <w:pPr>
        <w:tabs>
          <w:tab w:val="left" w:pos="1276"/>
        </w:tabs>
        <w:ind w:firstLine="851"/>
        <w:jc w:val="both"/>
        <w:rPr>
          <w:sz w:val="24"/>
          <w:szCs w:val="24"/>
        </w:rPr>
      </w:pPr>
      <w:r>
        <w:rPr>
          <w:sz w:val="24"/>
          <w:szCs w:val="24"/>
        </w:rPr>
        <w:t xml:space="preserve">                              </w:t>
      </w:r>
      <w:r w:rsidRPr="004D4FE0">
        <w:rPr>
          <w:sz w:val="24"/>
          <w:szCs w:val="24"/>
        </w:rPr>
        <w:t xml:space="preserve">Será definido o momento em que ocorre o fato gerador da </w:t>
      </w:r>
      <w:r>
        <w:rPr>
          <w:sz w:val="24"/>
          <w:szCs w:val="24"/>
        </w:rPr>
        <w:t xml:space="preserve"> </w:t>
      </w:r>
    </w:p>
    <w:p w14:paraId="7102C47B" w14:textId="77777777" w:rsidR="004D4FE0" w:rsidRDefault="004D4FE0" w:rsidP="004D4FE0">
      <w:pPr>
        <w:tabs>
          <w:tab w:val="left" w:pos="1276"/>
        </w:tabs>
        <w:ind w:firstLine="851"/>
        <w:jc w:val="both"/>
        <w:rPr>
          <w:sz w:val="24"/>
          <w:szCs w:val="24"/>
        </w:rPr>
      </w:pPr>
      <w:r>
        <w:rPr>
          <w:sz w:val="24"/>
          <w:szCs w:val="24"/>
        </w:rPr>
        <w:t xml:space="preserve">                              </w:t>
      </w:r>
      <w:r w:rsidRPr="004D4FE0">
        <w:rPr>
          <w:sz w:val="24"/>
          <w:szCs w:val="24"/>
        </w:rPr>
        <w:t xml:space="preserve">CBS, ou seja, o momento em que a circulação de bens ou a </w:t>
      </w:r>
    </w:p>
    <w:p w14:paraId="0E8345E5" w14:textId="77777777" w:rsidR="004D4FE0" w:rsidRDefault="004D4FE0" w:rsidP="004D4FE0">
      <w:pPr>
        <w:tabs>
          <w:tab w:val="left" w:pos="1276"/>
        </w:tabs>
        <w:ind w:firstLine="851"/>
        <w:jc w:val="both"/>
        <w:rPr>
          <w:sz w:val="24"/>
          <w:szCs w:val="24"/>
        </w:rPr>
      </w:pPr>
      <w:r>
        <w:rPr>
          <w:sz w:val="24"/>
          <w:szCs w:val="24"/>
        </w:rPr>
        <w:t xml:space="preserve">                               </w:t>
      </w:r>
      <w:r w:rsidRPr="004D4FE0">
        <w:rPr>
          <w:sz w:val="24"/>
          <w:szCs w:val="24"/>
        </w:rPr>
        <w:t xml:space="preserve">prestação de serviços é considerada ocorrida para efeitos de </w:t>
      </w:r>
    </w:p>
    <w:p w14:paraId="69DED311" w14:textId="77777777" w:rsidR="004D4FE0" w:rsidRDefault="004D4FE0" w:rsidP="004D4FE0">
      <w:pPr>
        <w:tabs>
          <w:tab w:val="left" w:pos="1276"/>
        </w:tabs>
        <w:ind w:firstLine="851"/>
        <w:jc w:val="both"/>
        <w:rPr>
          <w:sz w:val="24"/>
          <w:szCs w:val="24"/>
        </w:rPr>
      </w:pPr>
      <w:r>
        <w:rPr>
          <w:sz w:val="24"/>
          <w:szCs w:val="24"/>
        </w:rPr>
        <w:t xml:space="preserve">                               </w:t>
      </w:r>
      <w:r w:rsidRPr="004D4FE0">
        <w:rPr>
          <w:sz w:val="24"/>
          <w:szCs w:val="24"/>
        </w:rPr>
        <w:t>incidência tributária.</w:t>
      </w:r>
    </w:p>
    <w:p w14:paraId="00C4E7D1" w14:textId="371D653A" w:rsidR="004D4FE0" w:rsidRPr="004D4FE0" w:rsidRDefault="004D4FE0" w:rsidP="004D4FE0">
      <w:pPr>
        <w:tabs>
          <w:tab w:val="left" w:pos="1276"/>
        </w:tabs>
        <w:ind w:firstLine="851"/>
        <w:jc w:val="both"/>
        <w:rPr>
          <w:sz w:val="24"/>
          <w:szCs w:val="24"/>
        </w:rPr>
      </w:pPr>
      <w:r>
        <w:rPr>
          <w:sz w:val="24"/>
          <w:szCs w:val="24"/>
        </w:rPr>
        <w:t xml:space="preserve">                            </w:t>
      </w:r>
      <w:r w:rsidRPr="005A7A8A">
        <w:rPr>
          <w:sz w:val="24"/>
          <w:szCs w:val="24"/>
        </w:rPr>
        <w:t xml:space="preserve">   (</w:t>
      </w:r>
      <w:proofErr w:type="spellStart"/>
      <w:r w:rsidRPr="005A7A8A">
        <w:rPr>
          <w:sz w:val="24"/>
          <w:szCs w:val="24"/>
        </w:rPr>
        <w:t>iii</w:t>
      </w:r>
      <w:proofErr w:type="spellEnd"/>
      <w:r w:rsidRPr="005A7A8A">
        <w:rPr>
          <w:sz w:val="24"/>
          <w:szCs w:val="24"/>
        </w:rPr>
        <w:t>)</w:t>
      </w:r>
      <w:r>
        <w:rPr>
          <w:sz w:val="24"/>
          <w:szCs w:val="24"/>
        </w:rPr>
        <w:t xml:space="preserve">  </w:t>
      </w:r>
      <w:proofErr w:type="gramStart"/>
      <w:r w:rsidRPr="001325FF">
        <w:rPr>
          <w:sz w:val="24"/>
          <w:szCs w:val="24"/>
          <w:u w:val="double"/>
        </w:rPr>
        <w:t xml:space="preserve">Critério  </w:t>
      </w:r>
      <w:r>
        <w:rPr>
          <w:sz w:val="24"/>
          <w:szCs w:val="24"/>
          <w:u w:val="double"/>
        </w:rPr>
        <w:t>Territorial</w:t>
      </w:r>
      <w:proofErr w:type="gramEnd"/>
      <w:r>
        <w:rPr>
          <w:sz w:val="24"/>
          <w:szCs w:val="24"/>
          <w:u w:val="double"/>
        </w:rPr>
        <w:t xml:space="preserve"> </w:t>
      </w:r>
    </w:p>
    <w:p w14:paraId="04836982" w14:textId="55E772B2" w:rsidR="004D4FE0" w:rsidRDefault="004D4FE0" w:rsidP="004D4FE0">
      <w:pPr>
        <w:tabs>
          <w:tab w:val="left" w:pos="1276"/>
        </w:tabs>
        <w:ind w:firstLine="851"/>
        <w:jc w:val="both"/>
        <w:rPr>
          <w:sz w:val="24"/>
          <w:szCs w:val="24"/>
        </w:rPr>
      </w:pPr>
      <w:r w:rsidRPr="00573F18">
        <w:rPr>
          <w:sz w:val="24"/>
          <w:szCs w:val="24"/>
        </w:rPr>
        <w:t xml:space="preserve">                                </w:t>
      </w:r>
      <w:r w:rsidRPr="004D4FE0">
        <w:rPr>
          <w:sz w:val="24"/>
          <w:szCs w:val="24"/>
        </w:rPr>
        <w:t xml:space="preserve">Será delimitado o espaço geográfico em que a CBS é </w:t>
      </w:r>
    </w:p>
    <w:p w14:paraId="529102B2" w14:textId="2B2801E3" w:rsidR="00634FED" w:rsidRDefault="004D4FE0" w:rsidP="004D4FE0">
      <w:pPr>
        <w:tabs>
          <w:tab w:val="left" w:pos="1276"/>
        </w:tabs>
        <w:ind w:firstLine="851"/>
        <w:jc w:val="both"/>
        <w:rPr>
          <w:sz w:val="24"/>
          <w:szCs w:val="24"/>
        </w:rPr>
      </w:pPr>
      <w:r>
        <w:rPr>
          <w:sz w:val="24"/>
          <w:szCs w:val="24"/>
        </w:rPr>
        <w:t xml:space="preserve">                                </w:t>
      </w:r>
      <w:r w:rsidRPr="004D4FE0">
        <w:rPr>
          <w:sz w:val="24"/>
          <w:szCs w:val="24"/>
        </w:rPr>
        <w:t>aplicável, geralmente o território nacional brasileiro.</w:t>
      </w:r>
    </w:p>
    <w:p w14:paraId="07C5DB55" w14:textId="77777777" w:rsidR="004D4FE0" w:rsidRDefault="004D4FE0" w:rsidP="004D4FE0">
      <w:pPr>
        <w:tabs>
          <w:tab w:val="left" w:pos="1276"/>
        </w:tabs>
        <w:spacing w:before="120" w:after="120"/>
        <w:jc w:val="both"/>
        <w:rPr>
          <w:sz w:val="24"/>
          <w:szCs w:val="24"/>
        </w:rPr>
      </w:pPr>
    </w:p>
    <w:p w14:paraId="19CE95CC" w14:textId="77777777" w:rsidR="004D4FE0" w:rsidRDefault="004D4FE0" w:rsidP="00634FED">
      <w:pPr>
        <w:tabs>
          <w:tab w:val="left" w:pos="1276"/>
        </w:tabs>
        <w:spacing w:before="120" w:after="120" w:line="360" w:lineRule="auto"/>
        <w:ind w:firstLine="851"/>
        <w:jc w:val="both"/>
        <w:rPr>
          <w:sz w:val="24"/>
          <w:szCs w:val="24"/>
        </w:rPr>
      </w:pPr>
    </w:p>
    <w:p w14:paraId="60A73478" w14:textId="38DD3888" w:rsidR="00634FED" w:rsidRDefault="003F1A3A" w:rsidP="00634FED">
      <w:pPr>
        <w:tabs>
          <w:tab w:val="left" w:pos="1276"/>
        </w:tabs>
        <w:spacing w:before="120" w:after="120" w:line="360" w:lineRule="auto"/>
        <w:ind w:firstLine="851"/>
        <w:jc w:val="both"/>
        <w:rPr>
          <w:sz w:val="24"/>
          <w:szCs w:val="24"/>
        </w:rPr>
      </w:pPr>
      <w:r>
        <w:rPr>
          <w:sz w:val="24"/>
          <w:szCs w:val="24"/>
        </w:rPr>
        <w:t>No caso d</w:t>
      </w:r>
      <w:r w:rsidR="009E2D04">
        <w:rPr>
          <w:sz w:val="24"/>
          <w:szCs w:val="24"/>
        </w:rPr>
        <w:t xml:space="preserve">o PIS e da COFIN </w:t>
      </w:r>
      <w:r w:rsidR="003807F5">
        <w:rPr>
          <w:sz w:val="24"/>
          <w:szCs w:val="24"/>
        </w:rPr>
        <w:t>a</w:t>
      </w:r>
      <w:r>
        <w:rPr>
          <w:sz w:val="24"/>
          <w:szCs w:val="24"/>
        </w:rPr>
        <w:t xml:space="preserve"> hipótese de incidência da Regra Matriz de Incidência Tributária, </w:t>
      </w:r>
      <w:r w:rsidR="008814B4">
        <w:rPr>
          <w:sz w:val="24"/>
          <w:szCs w:val="24"/>
        </w:rPr>
        <w:t>é a seguinte:</w:t>
      </w:r>
    </w:p>
    <w:p w14:paraId="45744C03" w14:textId="0198FA0D" w:rsidR="005A7A8A" w:rsidRDefault="005A7A8A" w:rsidP="0013233B">
      <w:pPr>
        <w:tabs>
          <w:tab w:val="left" w:pos="1276"/>
        </w:tabs>
        <w:spacing w:before="120" w:after="120" w:line="360" w:lineRule="auto"/>
        <w:ind w:firstLine="851"/>
        <w:jc w:val="both"/>
        <w:rPr>
          <w:sz w:val="24"/>
          <w:szCs w:val="24"/>
        </w:rPr>
      </w:pPr>
      <w:r>
        <w:rPr>
          <w:noProof/>
          <w:sz w:val="24"/>
          <w:szCs w:val="24"/>
        </w:rPr>
        <mc:AlternateContent>
          <mc:Choice Requires="wps">
            <w:drawing>
              <wp:anchor distT="0" distB="0" distL="114300" distR="114300" simplePos="0" relativeHeight="251659264" behindDoc="0" locked="0" layoutInCell="1" allowOverlap="1" wp14:anchorId="64BD6936" wp14:editId="3B4F2677">
                <wp:simplePos x="0" y="0"/>
                <wp:positionH relativeFrom="column">
                  <wp:posOffset>1203159</wp:posOffset>
                </wp:positionH>
                <wp:positionV relativeFrom="paragraph">
                  <wp:posOffset>106624</wp:posOffset>
                </wp:positionV>
                <wp:extent cx="372220" cy="1750943"/>
                <wp:effectExtent l="57150" t="38100" r="66040" b="97155"/>
                <wp:wrapNone/>
                <wp:docPr id="1049724178" name="Chave Esquerda 1"/>
                <wp:cNvGraphicFramePr/>
                <a:graphic xmlns:a="http://schemas.openxmlformats.org/drawingml/2006/main">
                  <a:graphicData uri="http://schemas.microsoft.com/office/word/2010/wordprocessingShape">
                    <wps:wsp>
                      <wps:cNvSpPr/>
                      <wps:spPr>
                        <a:xfrm>
                          <a:off x="0" y="0"/>
                          <a:ext cx="372220" cy="1750943"/>
                        </a:xfrm>
                        <a:prstGeom prst="leftBrace">
                          <a:avLst/>
                        </a:prstGeom>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C77BF" id="Chave Esquerda 1" o:spid="_x0000_s1026" type="#_x0000_t87" style="position:absolute;margin-left:94.75pt;margin-top:8.4pt;width:29.3pt;height:137.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" adj="383" strokecolor="black [3200]" strokeweight="2pt">
                <v:shadow on="t" color="black" opacity="24903f" origin=",.5" offset="0,.55556mm"/>
              </v:shape>
            </w:pict>
          </mc:Fallback>
        </mc:AlternateContent>
      </w:r>
    </w:p>
    <w:p w14:paraId="1B9EE1C8" w14:textId="57DF5C28" w:rsidR="00FA26B8" w:rsidRPr="00FA26B8" w:rsidRDefault="008814B4" w:rsidP="00FA26B8">
      <w:pPr>
        <w:tabs>
          <w:tab w:val="left" w:pos="1276"/>
        </w:tabs>
        <w:spacing w:before="120" w:after="120"/>
        <w:ind w:firstLine="851"/>
        <w:jc w:val="both"/>
        <w:rPr>
          <w:sz w:val="24"/>
          <w:szCs w:val="24"/>
          <w:u w:val="double"/>
        </w:rPr>
      </w:pPr>
      <w:r>
        <w:rPr>
          <w:sz w:val="24"/>
          <w:szCs w:val="24"/>
        </w:rPr>
        <w:t>HIPÓTESE</w:t>
      </w:r>
      <w:r w:rsidR="00FA26B8">
        <w:rPr>
          <w:sz w:val="24"/>
          <w:szCs w:val="24"/>
        </w:rPr>
        <w:t xml:space="preserve">          (i)   </w:t>
      </w:r>
      <w:r w:rsidR="00FA26B8" w:rsidRPr="00FA26B8">
        <w:rPr>
          <w:sz w:val="24"/>
          <w:szCs w:val="24"/>
          <w:u w:val="double"/>
        </w:rPr>
        <w:t>Critério Material (verbo + complemento)</w:t>
      </w:r>
    </w:p>
    <w:p w14:paraId="12E48F1B" w14:textId="2EDB0E10" w:rsidR="008814B4" w:rsidRDefault="00FA26B8" w:rsidP="00FA26B8">
      <w:pPr>
        <w:tabs>
          <w:tab w:val="left" w:pos="1276"/>
        </w:tabs>
        <w:spacing w:before="120" w:after="120"/>
        <w:ind w:firstLine="851"/>
        <w:jc w:val="both"/>
        <w:rPr>
          <w:sz w:val="24"/>
          <w:szCs w:val="24"/>
        </w:rPr>
      </w:pPr>
      <w:r>
        <w:rPr>
          <w:sz w:val="24"/>
          <w:szCs w:val="24"/>
        </w:rPr>
        <w:t xml:space="preserve">     (H)         </w:t>
      </w:r>
      <w:r w:rsidR="008814B4">
        <w:rPr>
          <w:sz w:val="24"/>
          <w:szCs w:val="24"/>
        </w:rPr>
        <w:t xml:space="preserve"> </w:t>
      </w:r>
      <w:r w:rsidR="00FD0716">
        <w:rPr>
          <w:sz w:val="24"/>
          <w:szCs w:val="24"/>
        </w:rPr>
        <w:t xml:space="preserve">            </w:t>
      </w:r>
      <w:r>
        <w:rPr>
          <w:sz w:val="24"/>
          <w:szCs w:val="24"/>
        </w:rPr>
        <w:t xml:space="preserve">    Auferir receita ou faturamento</w:t>
      </w:r>
    </w:p>
    <w:p w14:paraId="50EAFAA7" w14:textId="7E3BD174" w:rsidR="00FA26B8" w:rsidRPr="001325FF" w:rsidRDefault="00FA26B8" w:rsidP="00FA26B8">
      <w:pPr>
        <w:tabs>
          <w:tab w:val="left" w:pos="1276"/>
        </w:tabs>
        <w:spacing w:before="120" w:after="120"/>
        <w:ind w:firstLine="851"/>
        <w:jc w:val="both"/>
        <w:rPr>
          <w:sz w:val="24"/>
          <w:szCs w:val="24"/>
          <w:u w:val="double"/>
        </w:rPr>
      </w:pPr>
      <w:r>
        <w:rPr>
          <w:sz w:val="24"/>
          <w:szCs w:val="24"/>
        </w:rPr>
        <w:t xml:space="preserve">                             (</w:t>
      </w:r>
      <w:proofErr w:type="spellStart"/>
      <w:r>
        <w:rPr>
          <w:sz w:val="24"/>
          <w:szCs w:val="24"/>
        </w:rPr>
        <w:t>ii</w:t>
      </w:r>
      <w:proofErr w:type="spellEnd"/>
      <w:r>
        <w:rPr>
          <w:sz w:val="24"/>
          <w:szCs w:val="24"/>
        </w:rPr>
        <w:t xml:space="preserve">)  </w:t>
      </w:r>
      <w:r w:rsidRPr="001325FF">
        <w:rPr>
          <w:sz w:val="24"/>
          <w:szCs w:val="24"/>
          <w:u w:val="double"/>
        </w:rPr>
        <w:t xml:space="preserve">Critério </w:t>
      </w:r>
      <w:r w:rsidR="00504EEF" w:rsidRPr="001325FF">
        <w:rPr>
          <w:sz w:val="24"/>
          <w:szCs w:val="24"/>
          <w:u w:val="double"/>
        </w:rPr>
        <w:t xml:space="preserve"> Espacial </w:t>
      </w:r>
    </w:p>
    <w:p w14:paraId="6FDD6650" w14:textId="0B53F497" w:rsidR="00FA26B8" w:rsidRDefault="00504EEF" w:rsidP="00FA26B8">
      <w:pPr>
        <w:tabs>
          <w:tab w:val="left" w:pos="1276"/>
        </w:tabs>
        <w:spacing w:before="120" w:after="120"/>
        <w:ind w:firstLine="851"/>
        <w:jc w:val="both"/>
        <w:rPr>
          <w:sz w:val="24"/>
          <w:szCs w:val="24"/>
        </w:rPr>
      </w:pPr>
      <w:r>
        <w:rPr>
          <w:sz w:val="24"/>
          <w:szCs w:val="24"/>
        </w:rPr>
        <w:t xml:space="preserve">                                     Território Nacional</w:t>
      </w:r>
    </w:p>
    <w:p w14:paraId="210EFC86" w14:textId="24F0EAFE" w:rsidR="001325FF" w:rsidRDefault="001325FF" w:rsidP="00FA26B8">
      <w:pPr>
        <w:tabs>
          <w:tab w:val="left" w:pos="1276"/>
        </w:tabs>
        <w:spacing w:before="120" w:after="120"/>
        <w:ind w:firstLine="851"/>
        <w:jc w:val="both"/>
        <w:rPr>
          <w:sz w:val="24"/>
          <w:szCs w:val="24"/>
          <w:u w:val="double"/>
        </w:rPr>
      </w:pPr>
      <w:r w:rsidRPr="005A7A8A">
        <w:rPr>
          <w:sz w:val="24"/>
          <w:szCs w:val="24"/>
        </w:rPr>
        <w:t xml:space="preserve">                            (</w:t>
      </w:r>
      <w:proofErr w:type="spellStart"/>
      <w:r w:rsidRPr="005A7A8A">
        <w:rPr>
          <w:sz w:val="24"/>
          <w:szCs w:val="24"/>
        </w:rPr>
        <w:t>iii</w:t>
      </w:r>
      <w:proofErr w:type="spellEnd"/>
      <w:r w:rsidRPr="005A7A8A">
        <w:rPr>
          <w:sz w:val="24"/>
          <w:szCs w:val="24"/>
        </w:rPr>
        <w:t>)</w:t>
      </w:r>
      <w:r w:rsidR="005A7A8A">
        <w:rPr>
          <w:sz w:val="24"/>
          <w:szCs w:val="24"/>
        </w:rPr>
        <w:t xml:space="preserve">  </w:t>
      </w:r>
      <w:r w:rsidR="005A7A8A" w:rsidRPr="001325FF">
        <w:rPr>
          <w:sz w:val="24"/>
          <w:szCs w:val="24"/>
          <w:u w:val="double"/>
        </w:rPr>
        <w:t xml:space="preserve">Critério  </w:t>
      </w:r>
      <w:r w:rsidR="005A7A8A">
        <w:rPr>
          <w:sz w:val="24"/>
          <w:szCs w:val="24"/>
          <w:u w:val="double"/>
        </w:rPr>
        <w:t xml:space="preserve">Territorial </w:t>
      </w:r>
    </w:p>
    <w:p w14:paraId="0A76A9AD" w14:textId="702F29A0" w:rsidR="00573F18" w:rsidRPr="00573F18" w:rsidRDefault="00573F18" w:rsidP="00FA26B8">
      <w:pPr>
        <w:tabs>
          <w:tab w:val="left" w:pos="1276"/>
        </w:tabs>
        <w:spacing w:before="120" w:after="120"/>
        <w:ind w:firstLine="851"/>
        <w:jc w:val="both"/>
        <w:rPr>
          <w:sz w:val="24"/>
          <w:szCs w:val="24"/>
        </w:rPr>
      </w:pPr>
      <w:r w:rsidRPr="00573F18">
        <w:rPr>
          <w:sz w:val="24"/>
          <w:szCs w:val="24"/>
        </w:rPr>
        <w:t xml:space="preserve">                                    Instante em que são auferidos</w:t>
      </w:r>
    </w:p>
    <w:p w14:paraId="18A3B843" w14:textId="77777777" w:rsidR="00C516DC" w:rsidRDefault="00C516DC" w:rsidP="009A1D4F">
      <w:pPr>
        <w:tabs>
          <w:tab w:val="left" w:pos="1276"/>
        </w:tabs>
        <w:spacing w:before="120" w:after="120" w:line="360" w:lineRule="auto"/>
        <w:jc w:val="both"/>
        <w:rPr>
          <w:sz w:val="24"/>
          <w:szCs w:val="24"/>
          <w:vertAlign w:val="superscript"/>
        </w:rPr>
      </w:pPr>
    </w:p>
    <w:p w14:paraId="763B7195" w14:textId="31DB33EA" w:rsidR="0004058C" w:rsidRPr="001943FE" w:rsidRDefault="0004058C" w:rsidP="00375742">
      <w:pPr>
        <w:pStyle w:val="PargrafodaLista"/>
        <w:numPr>
          <w:ilvl w:val="0"/>
          <w:numId w:val="31"/>
        </w:numPr>
        <w:tabs>
          <w:tab w:val="left" w:pos="851"/>
        </w:tabs>
        <w:spacing w:before="120"/>
        <w:contextualSpacing w:val="0"/>
        <w:jc w:val="both"/>
        <w:rPr>
          <w:b/>
          <w:bCs/>
          <w:sz w:val="24"/>
          <w:szCs w:val="24"/>
        </w:rPr>
      </w:pPr>
      <w:r w:rsidRPr="001943FE">
        <w:rPr>
          <w:b/>
          <w:bCs/>
          <w:sz w:val="24"/>
          <w:szCs w:val="24"/>
        </w:rPr>
        <w:t>Há um conteúdo mínimo para a não-cumulatividade desta contribuição ou caberá à lei complementar discipliná-la?</w:t>
      </w:r>
    </w:p>
    <w:p w14:paraId="77289D8D" w14:textId="77777777" w:rsidR="00513426" w:rsidRPr="00513426" w:rsidRDefault="00513426" w:rsidP="00513426">
      <w:pPr>
        <w:pStyle w:val="PargrafodaLista"/>
        <w:rPr>
          <w:b/>
          <w:bCs/>
          <w:sz w:val="24"/>
          <w:szCs w:val="24"/>
        </w:rPr>
      </w:pPr>
    </w:p>
    <w:p w14:paraId="3966B210" w14:textId="28DF735A" w:rsidR="00061103" w:rsidRDefault="001943FE" w:rsidP="00061103">
      <w:pPr>
        <w:tabs>
          <w:tab w:val="left" w:pos="1276"/>
        </w:tabs>
        <w:spacing w:before="120" w:after="120" w:line="360" w:lineRule="auto"/>
        <w:ind w:firstLine="851"/>
        <w:jc w:val="both"/>
        <w:rPr>
          <w:sz w:val="24"/>
          <w:szCs w:val="24"/>
        </w:rPr>
      </w:pPr>
      <w:r>
        <w:rPr>
          <w:sz w:val="24"/>
          <w:szCs w:val="24"/>
        </w:rPr>
        <w:t xml:space="preserve">Sim, há um conteúdo mínimo para a não-cumulatividade desta contribuição, uma vez </w:t>
      </w:r>
      <w:r w:rsidR="00A54C18">
        <w:rPr>
          <w:sz w:val="24"/>
          <w:szCs w:val="24"/>
        </w:rPr>
        <w:t>a Constituição Federal sempre traz um conteúdo mínimo</w:t>
      </w:r>
      <w:r w:rsidR="003B1AFB">
        <w:rPr>
          <w:sz w:val="24"/>
          <w:szCs w:val="24"/>
        </w:rPr>
        <w:t xml:space="preserve"> para as espécies tributárias</w:t>
      </w:r>
      <w:r w:rsidR="00800DEC">
        <w:rPr>
          <w:sz w:val="24"/>
          <w:szCs w:val="24"/>
        </w:rPr>
        <w:t xml:space="preserve">. Isso se confirma com o disposto no art. </w:t>
      </w:r>
      <w:r w:rsidR="00ED19FF">
        <w:rPr>
          <w:sz w:val="24"/>
          <w:szCs w:val="24"/>
        </w:rPr>
        <w:t>195, §</w:t>
      </w:r>
      <w:r w:rsidR="00800DEC">
        <w:rPr>
          <w:sz w:val="24"/>
          <w:szCs w:val="24"/>
        </w:rPr>
        <w:t xml:space="preserve"> 16, da Constituição Federal</w:t>
      </w:r>
      <w:r w:rsidR="00E87B45">
        <w:rPr>
          <w:sz w:val="24"/>
          <w:szCs w:val="24"/>
        </w:rPr>
        <w:t>, tendo em vista que para ele se aplica o mesmo que para CBS, vejamos:</w:t>
      </w:r>
    </w:p>
    <w:p w14:paraId="1958030B" w14:textId="736CE95F" w:rsidR="00895919" w:rsidRDefault="00895919" w:rsidP="00ED19FF">
      <w:pPr>
        <w:tabs>
          <w:tab w:val="left" w:pos="1276"/>
        </w:tabs>
        <w:spacing w:before="120" w:after="120"/>
        <w:ind w:left="2268"/>
        <w:jc w:val="both"/>
        <w:rPr>
          <w:i/>
          <w:iCs/>
          <w:sz w:val="22"/>
          <w:szCs w:val="22"/>
        </w:rPr>
      </w:pPr>
      <w:r w:rsidRPr="00ED19FF">
        <w:rPr>
          <w:i/>
          <w:iCs/>
          <w:sz w:val="22"/>
          <w:szCs w:val="22"/>
        </w:rPr>
        <w:lastRenderedPageBreak/>
        <w:t xml:space="preserve">Art. 195. </w:t>
      </w:r>
      <w:r w:rsidR="00ED19FF" w:rsidRPr="00ED19FF">
        <w:rPr>
          <w:i/>
          <w:iCs/>
          <w:sz w:val="22"/>
          <w:szCs w:val="22"/>
        </w:rPr>
        <w:t>(...) § 16. Aplica-se à contribuição prevista no inciso V do caput o disposto no art. 156-A, § 1º, I a VI, VIII, X a XIII, § 3º, § 5º, II a VI e IX, e §§ 6º a 11 e 13. (Incluído pela Emenda Constitucional nº 132, de 2023)</w:t>
      </w:r>
    </w:p>
    <w:p w14:paraId="009898B9" w14:textId="77777777" w:rsidR="00F858F5" w:rsidRDefault="00F858F5" w:rsidP="005A65AD">
      <w:pPr>
        <w:tabs>
          <w:tab w:val="left" w:pos="1276"/>
        </w:tabs>
        <w:spacing w:before="120" w:after="120"/>
        <w:jc w:val="both"/>
        <w:rPr>
          <w:i/>
          <w:iCs/>
          <w:sz w:val="22"/>
          <w:szCs w:val="22"/>
        </w:rPr>
      </w:pPr>
    </w:p>
    <w:p w14:paraId="5171BEDF" w14:textId="22ED0226" w:rsidR="001943FE" w:rsidRDefault="00216280" w:rsidP="00AD2408">
      <w:pPr>
        <w:tabs>
          <w:tab w:val="left" w:pos="1276"/>
        </w:tabs>
        <w:spacing w:before="120" w:after="120"/>
        <w:ind w:left="2268"/>
        <w:jc w:val="both"/>
        <w:rPr>
          <w:i/>
          <w:iCs/>
          <w:sz w:val="22"/>
          <w:szCs w:val="22"/>
        </w:rPr>
      </w:pPr>
      <w:r w:rsidRPr="008B7AF7">
        <w:rPr>
          <w:i/>
          <w:iCs/>
          <w:sz w:val="22"/>
          <w:szCs w:val="22"/>
        </w:rPr>
        <w:t xml:space="preserve">Art. 156-A. (...) </w:t>
      </w:r>
      <w:r w:rsidR="00F858F5" w:rsidRPr="008B7AF7">
        <w:rPr>
          <w:i/>
          <w:iCs/>
          <w:sz w:val="22"/>
          <w:szCs w:val="22"/>
        </w:rPr>
        <w:t>VIII - será não cumulativo, compensando-se o imposto devido pelo contribuinte com o montante cobrado sobre todas as operações nas quais seja adquirente de bem material ou imaterial, inclusive direito, ou de serviço, excetuadas exclusivamente as consideradas de uso ou consumo pessoal especificadas em lei complementar e as hipóteses previstas nesta Constituição;</w:t>
      </w:r>
    </w:p>
    <w:p w14:paraId="5816BC9F" w14:textId="77777777" w:rsidR="004D4FE0" w:rsidRPr="00AD2408" w:rsidRDefault="004D4FE0" w:rsidP="00AD2408">
      <w:pPr>
        <w:tabs>
          <w:tab w:val="left" w:pos="1276"/>
        </w:tabs>
        <w:spacing w:before="120" w:after="120"/>
        <w:ind w:left="2268"/>
        <w:jc w:val="both"/>
        <w:rPr>
          <w:i/>
          <w:iCs/>
          <w:sz w:val="22"/>
          <w:szCs w:val="22"/>
        </w:rPr>
      </w:pPr>
    </w:p>
    <w:p w14:paraId="5BE95604" w14:textId="27445075" w:rsidR="00835AB6" w:rsidRPr="00CE06FD" w:rsidRDefault="0004058C" w:rsidP="00CE06FD">
      <w:pPr>
        <w:pStyle w:val="PargrafodaLista"/>
        <w:numPr>
          <w:ilvl w:val="0"/>
          <w:numId w:val="31"/>
        </w:numPr>
        <w:tabs>
          <w:tab w:val="left" w:pos="851"/>
        </w:tabs>
        <w:spacing w:before="120"/>
        <w:contextualSpacing w:val="0"/>
        <w:jc w:val="both"/>
        <w:rPr>
          <w:b/>
          <w:bCs/>
          <w:sz w:val="24"/>
          <w:szCs w:val="24"/>
        </w:rPr>
      </w:pPr>
      <w:r w:rsidRPr="00713793">
        <w:rPr>
          <w:b/>
          <w:bCs/>
          <w:sz w:val="24"/>
          <w:szCs w:val="24"/>
        </w:rPr>
        <w:t xml:space="preserve">Existe diferença </w:t>
      </w:r>
      <w:r w:rsidR="00F158FC" w:rsidRPr="00713793">
        <w:rPr>
          <w:b/>
          <w:bCs/>
          <w:sz w:val="24"/>
          <w:szCs w:val="24"/>
        </w:rPr>
        <w:t>entre a não cumulatividade prevista para a CBS e aquela atualmente adotada para PIS e COFINS?</w:t>
      </w:r>
      <w:r w:rsidRPr="00713793">
        <w:rPr>
          <w:b/>
          <w:bCs/>
          <w:sz w:val="24"/>
          <w:szCs w:val="24"/>
        </w:rPr>
        <w:t xml:space="preserve"> Se positiva a resposta, qual(</w:t>
      </w:r>
      <w:proofErr w:type="spellStart"/>
      <w:r w:rsidRPr="00713793">
        <w:rPr>
          <w:b/>
          <w:bCs/>
          <w:sz w:val="24"/>
          <w:szCs w:val="24"/>
        </w:rPr>
        <w:t>is</w:t>
      </w:r>
      <w:proofErr w:type="spellEnd"/>
      <w:r w:rsidRPr="00713793">
        <w:rPr>
          <w:b/>
          <w:bCs/>
          <w:sz w:val="24"/>
          <w:szCs w:val="24"/>
        </w:rPr>
        <w:t>) a(s) diferença(s)?</w:t>
      </w:r>
    </w:p>
    <w:p w14:paraId="31994E4B" w14:textId="5F1E5C08" w:rsidR="002A0B36" w:rsidRPr="002A0B36" w:rsidRDefault="002A0B36" w:rsidP="00F8443F">
      <w:pPr>
        <w:tabs>
          <w:tab w:val="left" w:pos="1276"/>
        </w:tabs>
        <w:spacing w:before="120" w:after="120" w:line="360" w:lineRule="auto"/>
        <w:ind w:firstLine="851"/>
        <w:jc w:val="both"/>
        <w:rPr>
          <w:sz w:val="24"/>
          <w:szCs w:val="24"/>
        </w:rPr>
      </w:pPr>
      <w:r w:rsidRPr="002A0B36">
        <w:rPr>
          <w:sz w:val="24"/>
          <w:szCs w:val="24"/>
        </w:rPr>
        <w:t xml:space="preserve">Sim, existe diferença entre a não-cumulatividade prevista para a CBS (Contribuição sobre Bens e Serviços) e aquela atualmente adotada para </w:t>
      </w:r>
      <w:bookmarkStart w:id="1" w:name="_Hlk164163251"/>
      <w:r w:rsidRPr="002A0B36">
        <w:rPr>
          <w:sz w:val="24"/>
          <w:szCs w:val="24"/>
        </w:rPr>
        <w:t xml:space="preserve">o PIS (Programa de Integração Social) e COFINS (Contribuição para o Financiamento da Seguridade </w:t>
      </w:r>
      <w:bookmarkEnd w:id="1"/>
      <w:r w:rsidRPr="002A0B36">
        <w:rPr>
          <w:sz w:val="24"/>
          <w:szCs w:val="24"/>
        </w:rPr>
        <w:t>Social).</w:t>
      </w:r>
      <w:r w:rsidR="00A2797C">
        <w:rPr>
          <w:sz w:val="24"/>
          <w:szCs w:val="24"/>
        </w:rPr>
        <w:t xml:space="preserve"> Enquanto </w:t>
      </w:r>
      <w:r w:rsidR="00A2797C" w:rsidRPr="00A2797C">
        <w:rPr>
          <w:sz w:val="24"/>
          <w:szCs w:val="24"/>
        </w:rPr>
        <w:t xml:space="preserve">o PIS </w:t>
      </w:r>
      <w:r w:rsidR="004B6030" w:rsidRPr="004B6030">
        <w:rPr>
          <w:sz w:val="24"/>
          <w:szCs w:val="24"/>
        </w:rPr>
        <w:t>se pauta pela essencialidade e relevância, ou seja, q</w:t>
      </w:r>
      <w:r w:rsidR="000C79FB">
        <w:rPr>
          <w:sz w:val="24"/>
          <w:szCs w:val="24"/>
        </w:rPr>
        <w:t xml:space="preserve">ualquer </w:t>
      </w:r>
      <w:r w:rsidR="004B6030" w:rsidRPr="004B6030">
        <w:rPr>
          <w:sz w:val="24"/>
          <w:szCs w:val="24"/>
        </w:rPr>
        <w:t>coisa nesses critérios poderia ser creditada, m</w:t>
      </w:r>
      <w:r w:rsidR="000C79FB">
        <w:rPr>
          <w:sz w:val="24"/>
          <w:szCs w:val="24"/>
        </w:rPr>
        <w:t xml:space="preserve">esmo </w:t>
      </w:r>
      <w:r w:rsidR="004B6030" w:rsidRPr="004B6030">
        <w:rPr>
          <w:sz w:val="24"/>
          <w:szCs w:val="24"/>
        </w:rPr>
        <w:t>que não tenha havido incidência das contribuições na operação anterior</w:t>
      </w:r>
      <w:r w:rsidR="000C79FB">
        <w:rPr>
          <w:sz w:val="24"/>
          <w:szCs w:val="24"/>
        </w:rPr>
        <w:t>.</w:t>
      </w:r>
      <w:r w:rsidR="00173E2E" w:rsidRPr="00173E2E">
        <w:t xml:space="preserve"> </w:t>
      </w:r>
      <w:r w:rsidR="00173E2E" w:rsidRPr="00173E2E">
        <w:rPr>
          <w:sz w:val="24"/>
          <w:szCs w:val="24"/>
        </w:rPr>
        <w:t xml:space="preserve">O </w:t>
      </w:r>
      <w:r w:rsidR="00F8443F" w:rsidRPr="00173E2E">
        <w:rPr>
          <w:sz w:val="24"/>
          <w:szCs w:val="24"/>
        </w:rPr>
        <w:t>CBS</w:t>
      </w:r>
      <w:r w:rsidR="00F8443F">
        <w:rPr>
          <w:sz w:val="24"/>
          <w:szCs w:val="24"/>
        </w:rPr>
        <w:t xml:space="preserve"> </w:t>
      </w:r>
      <w:r w:rsidR="00F8443F" w:rsidRPr="00173E2E">
        <w:rPr>
          <w:sz w:val="24"/>
          <w:szCs w:val="24"/>
        </w:rPr>
        <w:t>demanda</w:t>
      </w:r>
      <w:r w:rsidR="00173E2E" w:rsidRPr="00173E2E">
        <w:rPr>
          <w:sz w:val="24"/>
          <w:szCs w:val="24"/>
        </w:rPr>
        <w:t xml:space="preserve"> que haja a incidência dele na operação anterior para que haja creditamento</w:t>
      </w:r>
      <w:r w:rsidR="006D58B3">
        <w:rPr>
          <w:sz w:val="24"/>
          <w:szCs w:val="24"/>
        </w:rPr>
        <w:t xml:space="preserve">, lembre-se que </w:t>
      </w:r>
      <w:r w:rsidR="006D58B3" w:rsidRPr="006D58B3">
        <w:rPr>
          <w:sz w:val="24"/>
          <w:szCs w:val="24"/>
        </w:rPr>
        <w:t>será não cumulativo, compensando-se o imposto devido pelo contribuinte com o montante cobrado sobre todas as operações nas quais seja adquirente de bem material ou imaterial</w:t>
      </w:r>
      <w:r w:rsidR="001A6D1D">
        <w:rPr>
          <w:sz w:val="24"/>
          <w:szCs w:val="24"/>
        </w:rPr>
        <w:t>.</w:t>
      </w:r>
    </w:p>
    <w:p w14:paraId="58C15011" w14:textId="60E33FD9" w:rsidR="002A0B36" w:rsidRPr="002A0B36" w:rsidRDefault="002A0B36" w:rsidP="00463BB1">
      <w:pPr>
        <w:tabs>
          <w:tab w:val="left" w:pos="1276"/>
        </w:tabs>
        <w:spacing w:before="120" w:after="120" w:line="360" w:lineRule="auto"/>
        <w:ind w:firstLine="851"/>
        <w:jc w:val="both"/>
        <w:rPr>
          <w:sz w:val="24"/>
          <w:szCs w:val="24"/>
        </w:rPr>
      </w:pPr>
      <w:r w:rsidRPr="002A0B36">
        <w:rPr>
          <w:sz w:val="24"/>
          <w:szCs w:val="24"/>
        </w:rPr>
        <w:t>A</w:t>
      </w:r>
      <w:r w:rsidR="00463BB1">
        <w:rPr>
          <w:sz w:val="24"/>
          <w:szCs w:val="24"/>
        </w:rPr>
        <w:t>ssim, a</w:t>
      </w:r>
      <w:r w:rsidRPr="002A0B36">
        <w:rPr>
          <w:sz w:val="24"/>
          <w:szCs w:val="24"/>
        </w:rPr>
        <w:t xml:space="preserve"> principal diferença reside na forma como os créditos são calculados e utilizados para compensação dos valores devidos. Na atual sistemática do PIS e da COFINS, as empresas podem descontar créditos sobre uma ampla gama de despesas incorridas na atividade econômica, tais como aquisição de insumos, energia elétrica, aluguéis, entre outros. Esses créditos podem ser abatidos do valor total devido das contribuições</w:t>
      </w:r>
    </w:p>
    <w:p w14:paraId="538F875F" w14:textId="429C3B48" w:rsidR="002A0B36" w:rsidRPr="002A0B36" w:rsidRDefault="002A0B36" w:rsidP="00F8443F">
      <w:pPr>
        <w:tabs>
          <w:tab w:val="left" w:pos="1276"/>
        </w:tabs>
        <w:spacing w:before="120" w:after="120" w:line="360" w:lineRule="auto"/>
        <w:ind w:firstLine="851"/>
        <w:jc w:val="both"/>
        <w:rPr>
          <w:sz w:val="24"/>
          <w:szCs w:val="24"/>
        </w:rPr>
      </w:pPr>
      <w:r w:rsidRPr="002A0B36">
        <w:rPr>
          <w:sz w:val="24"/>
          <w:szCs w:val="24"/>
        </w:rPr>
        <w:t xml:space="preserve">Por outro lado, a CBS, conforme previsto na Emenda Constitucional nº. 132/2023, pode adotar uma base de cálculo mais ampla e simplificada, com a possibilidade de uma lista mais restrita de créditos elegíveis. Isso pode significar que algumas despesas que atualmente geram créditos para PIS e COFINS não seriam </w:t>
      </w:r>
      <w:r w:rsidRPr="002A0B36">
        <w:rPr>
          <w:sz w:val="24"/>
          <w:szCs w:val="24"/>
        </w:rPr>
        <w:lastRenderedPageBreak/>
        <w:t>consideradas para a CBS, resultando em uma base de cálculo potencialmente maior para essa nova contribuição.</w:t>
      </w:r>
    </w:p>
    <w:p w14:paraId="38B5C606" w14:textId="797838D4" w:rsidR="00F77462" w:rsidRDefault="002A0B36" w:rsidP="00D21236">
      <w:pPr>
        <w:tabs>
          <w:tab w:val="left" w:pos="1276"/>
        </w:tabs>
        <w:spacing w:before="120" w:after="120" w:line="360" w:lineRule="auto"/>
        <w:ind w:firstLine="851"/>
        <w:jc w:val="both"/>
        <w:rPr>
          <w:sz w:val="24"/>
          <w:szCs w:val="24"/>
        </w:rPr>
      </w:pPr>
      <w:r w:rsidRPr="002A0B36">
        <w:rPr>
          <w:sz w:val="24"/>
          <w:szCs w:val="24"/>
        </w:rPr>
        <w:t>Além disso, a legislação que instituir a CBS pode estabelecer regras específicas para a apuração e utilização dos créditos, podendo diferir em alguns aspectos em relação ao sistema atual do PIS e da COFINS.</w:t>
      </w:r>
    </w:p>
    <w:p w14:paraId="3C770864" w14:textId="77777777" w:rsidR="00634FED" w:rsidRDefault="00634FED" w:rsidP="00D21236">
      <w:pPr>
        <w:tabs>
          <w:tab w:val="left" w:pos="1276"/>
        </w:tabs>
        <w:spacing w:before="120" w:after="120" w:line="360" w:lineRule="auto"/>
        <w:ind w:firstLine="851"/>
        <w:jc w:val="both"/>
        <w:rPr>
          <w:sz w:val="24"/>
          <w:szCs w:val="24"/>
        </w:rPr>
      </w:pPr>
    </w:p>
    <w:p w14:paraId="7FC9D5E2" w14:textId="4974F206" w:rsidR="00A3018F" w:rsidRPr="00A3018F" w:rsidRDefault="00A3018F" w:rsidP="00A3018F">
      <w:pPr>
        <w:tabs>
          <w:tab w:val="left" w:pos="1276"/>
        </w:tabs>
        <w:spacing w:before="120" w:after="120" w:line="360" w:lineRule="auto"/>
        <w:jc w:val="both"/>
        <w:rPr>
          <w:b/>
          <w:bCs/>
          <w:sz w:val="24"/>
          <w:szCs w:val="24"/>
        </w:rPr>
      </w:pPr>
      <w:r w:rsidRPr="00A3018F">
        <w:rPr>
          <w:b/>
          <w:bCs/>
          <w:sz w:val="24"/>
          <w:szCs w:val="24"/>
        </w:rPr>
        <w:t xml:space="preserve">BIBLIOGRAFIA </w:t>
      </w:r>
    </w:p>
    <w:p w14:paraId="1535F117" w14:textId="41AC81C8" w:rsidR="00A3018F" w:rsidRDefault="00A3018F" w:rsidP="00A3018F">
      <w:pPr>
        <w:tabs>
          <w:tab w:val="left" w:pos="1276"/>
        </w:tabs>
        <w:spacing w:before="120" w:after="120" w:line="360" w:lineRule="auto"/>
        <w:jc w:val="both"/>
        <w:rPr>
          <w:sz w:val="24"/>
          <w:szCs w:val="24"/>
        </w:rPr>
      </w:pPr>
      <w:r w:rsidRPr="00A3018F">
        <w:rPr>
          <w:sz w:val="24"/>
          <w:szCs w:val="24"/>
        </w:rPr>
        <w:t>ATALIBA. Geraldo. Hipótese de Incidência Tributária, 6ª ed. 10 tir. São Paulo, Editora Meditores</w:t>
      </w:r>
      <w:r>
        <w:rPr>
          <w:sz w:val="24"/>
          <w:szCs w:val="24"/>
        </w:rPr>
        <w:t>.</w:t>
      </w:r>
    </w:p>
    <w:p w14:paraId="2FF245EF" w14:textId="7B4EFAB9" w:rsidR="00A3018F" w:rsidRPr="00A3018F" w:rsidRDefault="00A3018F" w:rsidP="00A3018F">
      <w:pPr>
        <w:tabs>
          <w:tab w:val="left" w:pos="1276"/>
        </w:tabs>
        <w:spacing w:before="120" w:after="120" w:line="360" w:lineRule="auto"/>
        <w:jc w:val="both"/>
        <w:rPr>
          <w:b/>
          <w:bCs/>
          <w:sz w:val="24"/>
          <w:szCs w:val="24"/>
        </w:rPr>
      </w:pPr>
      <w:r w:rsidRPr="00A3018F">
        <w:rPr>
          <w:sz w:val="24"/>
          <w:szCs w:val="24"/>
        </w:rPr>
        <w:t>CARVALHO, Paulo de Barros. Direito Tributário: linguagem método. 6ª ed. São Paulo: Noeses, 2015</w:t>
      </w:r>
      <w:r w:rsidR="004D4FE0">
        <w:rPr>
          <w:sz w:val="24"/>
          <w:szCs w:val="24"/>
        </w:rPr>
        <w:t>.</w:t>
      </w:r>
    </w:p>
    <w:sectPr w:rsidR="00A3018F" w:rsidRPr="00A3018F" w:rsidSect="007964AB">
      <w:headerReference w:type="default" r:id="rId23"/>
      <w:footerReference w:type="even" r:id="rId24"/>
      <w:footerReference w:type="default" r:id="rId2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F78DD" w14:textId="77777777" w:rsidR="007964AB" w:rsidRDefault="007964AB">
      <w:r>
        <w:separator/>
      </w:r>
    </w:p>
  </w:endnote>
  <w:endnote w:type="continuationSeparator" w:id="0">
    <w:p w14:paraId="1720931F" w14:textId="77777777" w:rsidR="007964AB" w:rsidRDefault="00796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ova Cond">
    <w:charset w:val="00"/>
    <w:family w:val="swiss"/>
    <w:pitch w:val="variable"/>
    <w:sig w:usb0="0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entury731 BT">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5D094" w14:textId="77777777" w:rsidR="00D15772" w:rsidRDefault="00D15772" w:rsidP="007C538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40F8ED7" w14:textId="77777777" w:rsidR="00D15772" w:rsidRDefault="00D15772" w:rsidP="00A66390">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69F5D" w14:textId="77777777" w:rsidR="00D15772" w:rsidRDefault="00D15772" w:rsidP="007C538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15842">
      <w:rPr>
        <w:rStyle w:val="Nmerodepgina"/>
        <w:noProof/>
      </w:rPr>
      <w:t>76</w:t>
    </w:r>
    <w:r>
      <w:rPr>
        <w:rStyle w:val="Nmerodepgina"/>
      </w:rPr>
      <w:fldChar w:fldCharType="end"/>
    </w:r>
  </w:p>
  <w:p w14:paraId="6FCCA1E7" w14:textId="77777777" w:rsidR="00D15772" w:rsidRPr="00533724" w:rsidRDefault="00D15772" w:rsidP="00E26274">
    <w:pPr>
      <w:pStyle w:val="Rodap"/>
      <w:jc w:val="center"/>
      <w:rPr>
        <w:sz w:val="16"/>
        <w:szCs w:val="16"/>
      </w:rPr>
    </w:pPr>
    <w:r w:rsidRPr="00D06926">
      <w:rPr>
        <w:rFonts w:ascii="Georgia" w:hAnsi="Georgia"/>
        <w:b/>
        <w:bCs/>
        <w:i/>
        <w:sz w:val="16"/>
        <w:szCs w:val="16"/>
      </w:rPr>
      <w:t>Campus</w:t>
    </w:r>
    <w:r>
      <w:rPr>
        <w:rFonts w:ascii="Georgia" w:hAnsi="Georgia"/>
        <w:b/>
        <w:bCs/>
        <w:sz w:val="16"/>
        <w:szCs w:val="16"/>
      </w:rPr>
      <w:t xml:space="preserve"> Consolação – Unidade COGEAE </w:t>
    </w:r>
    <w:proofErr w:type="gramStart"/>
    <w:r>
      <w:rPr>
        <w:rFonts w:ascii="Georgia" w:hAnsi="Georgia"/>
        <w:b/>
        <w:bCs/>
        <w:sz w:val="16"/>
        <w:szCs w:val="16"/>
      </w:rPr>
      <w:t xml:space="preserve">-  </w:t>
    </w:r>
    <w:r w:rsidRPr="00533724">
      <w:rPr>
        <w:rFonts w:ascii="Georgia" w:hAnsi="Georgia"/>
        <w:b/>
        <w:bCs/>
        <w:sz w:val="16"/>
        <w:szCs w:val="16"/>
      </w:rPr>
      <w:t>Rua</w:t>
    </w:r>
    <w:proofErr w:type="gramEnd"/>
    <w:r w:rsidRPr="00533724">
      <w:rPr>
        <w:rFonts w:ascii="Georgia" w:hAnsi="Georgia"/>
        <w:b/>
        <w:bCs/>
        <w:sz w:val="16"/>
        <w:szCs w:val="16"/>
      </w:rPr>
      <w:t xml:space="preserve"> </w:t>
    </w:r>
    <w:r>
      <w:rPr>
        <w:rFonts w:ascii="Georgia" w:hAnsi="Georgia"/>
        <w:b/>
        <w:bCs/>
        <w:sz w:val="16"/>
        <w:szCs w:val="16"/>
      </w:rPr>
      <w:t xml:space="preserve">da Consolação, </w:t>
    </w:r>
    <w:r w:rsidRPr="00B41AED">
      <w:rPr>
        <w:b/>
        <w:bCs/>
        <w:sz w:val="16"/>
        <w:szCs w:val="16"/>
      </w:rPr>
      <w:t>881</w:t>
    </w:r>
    <w:r>
      <w:rPr>
        <w:rFonts w:ascii="Georgia" w:hAnsi="Georgia"/>
        <w:b/>
        <w:bCs/>
        <w:sz w:val="16"/>
        <w:szCs w:val="16"/>
      </w:rPr>
      <w:t xml:space="preserve"> - </w:t>
    </w:r>
    <w:r w:rsidRPr="00533724">
      <w:rPr>
        <w:rFonts w:ascii="Georgia" w:hAnsi="Georgia"/>
        <w:b/>
        <w:bCs/>
        <w:sz w:val="16"/>
        <w:szCs w:val="16"/>
      </w:rPr>
      <w:t xml:space="preserve">São Paulo/SP – CEP </w:t>
    </w:r>
    <w:r w:rsidRPr="00B41AED">
      <w:rPr>
        <w:b/>
        <w:bCs/>
        <w:sz w:val="16"/>
        <w:szCs w:val="16"/>
      </w:rPr>
      <w:t>01301-000</w:t>
    </w:r>
    <w:r>
      <w:rPr>
        <w:rFonts w:ascii="Georgia" w:hAnsi="Georgia"/>
        <w:b/>
        <w:bCs/>
        <w:sz w:val="16"/>
        <w:szCs w:val="16"/>
      </w:rPr>
      <w:t xml:space="preserve"> </w:t>
    </w:r>
    <w:r>
      <w:rPr>
        <w:rFonts w:ascii="Georgia" w:hAnsi="Georgia"/>
        <w:b/>
        <w:bCs/>
        <w:sz w:val="16"/>
        <w:szCs w:val="16"/>
      </w:rPr>
      <w:br/>
    </w:r>
    <w:r w:rsidRPr="00533724">
      <w:rPr>
        <w:rFonts w:ascii="Georgia" w:hAnsi="Georgia"/>
        <w:b/>
        <w:bCs/>
        <w:sz w:val="16"/>
        <w:szCs w:val="16"/>
      </w:rPr>
      <w:t>Fone: (</w:t>
    </w:r>
    <w:r w:rsidRPr="00B41AED">
      <w:rPr>
        <w:b/>
        <w:bCs/>
        <w:sz w:val="16"/>
        <w:szCs w:val="16"/>
      </w:rPr>
      <w:t>11</w:t>
    </w:r>
    <w:r w:rsidRPr="00533724">
      <w:rPr>
        <w:rFonts w:ascii="Georgia" w:hAnsi="Georgia"/>
        <w:b/>
        <w:bCs/>
        <w:sz w:val="16"/>
        <w:szCs w:val="16"/>
      </w:rPr>
      <w:t xml:space="preserve">) </w:t>
    </w:r>
    <w:r w:rsidRPr="00B41AED">
      <w:rPr>
        <w:b/>
        <w:bCs/>
        <w:sz w:val="16"/>
        <w:szCs w:val="16"/>
      </w:rPr>
      <w:t>3124-9600</w:t>
    </w:r>
    <w:r w:rsidRPr="00533724">
      <w:rPr>
        <w:rFonts w:ascii="Georgia" w:hAnsi="Georgia"/>
        <w:b/>
        <w:bCs/>
        <w:sz w:val="16"/>
        <w:szCs w:val="16"/>
      </w:rPr>
      <w:t xml:space="preserve"> –</w:t>
    </w:r>
    <w:r>
      <w:rPr>
        <w:rFonts w:ascii="Georgia" w:hAnsi="Georgia"/>
        <w:b/>
        <w:bCs/>
        <w:sz w:val="16"/>
        <w:szCs w:val="16"/>
      </w:rPr>
      <w:t xml:space="preserve"> </w:t>
    </w:r>
    <w:r w:rsidRPr="00D06926">
      <w:rPr>
        <w:rFonts w:ascii="Georgia" w:hAnsi="Georgia"/>
        <w:b/>
        <w:bCs/>
        <w:noProof/>
        <w:sz w:val="16"/>
        <w:szCs w:val="16"/>
      </w:rPr>
      <w:t>http://www.pucsp.br/cogeae</w:t>
    </w:r>
  </w:p>
  <w:p w14:paraId="186C0312" w14:textId="77777777" w:rsidR="00D15772" w:rsidRPr="00D3052C" w:rsidRDefault="00D15772" w:rsidP="00E26274">
    <w:pPr>
      <w:pStyle w:val="Rodap"/>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BF443E" w14:textId="77777777" w:rsidR="007964AB" w:rsidRDefault="007964AB">
      <w:r>
        <w:separator/>
      </w:r>
    </w:p>
  </w:footnote>
  <w:footnote w:type="continuationSeparator" w:id="0">
    <w:p w14:paraId="6E2F8F62" w14:textId="77777777" w:rsidR="007964AB" w:rsidRDefault="007964AB">
      <w:r>
        <w:continuationSeparator/>
      </w:r>
    </w:p>
  </w:footnote>
  <w:footnote w:id="1">
    <w:p w14:paraId="580C8DA9" w14:textId="6FED5F56" w:rsidR="00CF4986" w:rsidRDefault="00CF4986" w:rsidP="00CF4986">
      <w:pPr>
        <w:pStyle w:val="Textodenotaderodap"/>
      </w:pPr>
      <w:r>
        <w:rPr>
          <w:rStyle w:val="Refdenotaderodap"/>
        </w:rPr>
        <w:footnoteRef/>
      </w:r>
      <w:r w:rsidR="004B6AB3">
        <w:t>ATALIBA. Geraldo.</w:t>
      </w:r>
      <w:r>
        <w:t xml:space="preserve"> Hipótese de Incidência Tributária, </w:t>
      </w:r>
      <w:r w:rsidR="00DD7DB3">
        <w:t>6ª ed. 10 tir.</w:t>
      </w:r>
      <w:r w:rsidR="00F45C3E">
        <w:t xml:space="preserve"> São Paulo,</w:t>
      </w:r>
      <w:r w:rsidR="00DD7DB3">
        <w:t xml:space="preserve"> </w:t>
      </w:r>
      <w:r w:rsidR="007B5EA2">
        <w:t xml:space="preserve">Editora Meditores, </w:t>
      </w:r>
      <w:r>
        <w:t>p.170</w:t>
      </w:r>
      <w:r w:rsidR="00DD7DB3">
        <w:t>.</w:t>
      </w:r>
    </w:p>
  </w:footnote>
  <w:footnote w:id="2">
    <w:p w14:paraId="4429FA41" w14:textId="7EDF41F0" w:rsidR="00F65EF2" w:rsidRDefault="00F65EF2">
      <w:pPr>
        <w:pStyle w:val="Textodenotaderodap"/>
      </w:pPr>
      <w:r>
        <w:rPr>
          <w:rStyle w:val="Refdenotaderodap"/>
        </w:rPr>
        <w:footnoteRef/>
      </w:r>
      <w:r>
        <w:t xml:space="preserve"> </w:t>
      </w:r>
      <w:r w:rsidR="003C710A">
        <w:t>CARV</w:t>
      </w:r>
      <w:r w:rsidR="00E225FC">
        <w:t>ALHO, Paulo de Barros. Direito Tributário: linguagem método</w:t>
      </w:r>
      <w:r w:rsidR="001E301A">
        <w:t xml:space="preserve">. 6ª </w:t>
      </w:r>
      <w:proofErr w:type="gramStart"/>
      <w:r w:rsidR="001E301A">
        <w:t>ed..</w:t>
      </w:r>
      <w:proofErr w:type="gramEnd"/>
      <w:r w:rsidR="001E301A">
        <w:t xml:space="preserve"> São Paulo: Noeses, 2015.p</w:t>
      </w:r>
      <w:r>
        <w:t>. 821</w:t>
      </w:r>
    </w:p>
  </w:footnote>
  <w:footnote w:id="3">
    <w:p w14:paraId="46C0DC72" w14:textId="56DD3827" w:rsidR="00731098" w:rsidRDefault="00731098" w:rsidP="00731098">
      <w:pPr>
        <w:pStyle w:val="Textodenotaderodap"/>
      </w:pPr>
      <w:r>
        <w:rPr>
          <w:rStyle w:val="Refdenotaderodap"/>
        </w:rPr>
        <w:footnoteRef/>
      </w:r>
      <w:r>
        <w:t xml:space="preserve"> </w:t>
      </w:r>
      <w:r w:rsidR="001E301A">
        <w:t>CARVALHO, Paulo de Barros. Direito Tributário: linguagem método. 6ª ed.</w:t>
      </w:r>
      <w:r w:rsidR="008B52A7">
        <w:t xml:space="preserve"> </w:t>
      </w:r>
      <w:r w:rsidR="001E301A">
        <w:t xml:space="preserve">São Paulo: Noeses, 2015.p. </w:t>
      </w:r>
      <w:r>
        <w:t>834</w:t>
      </w:r>
    </w:p>
  </w:footnote>
  <w:footnote w:id="4">
    <w:p w14:paraId="3E3ECD08" w14:textId="36C47CE5" w:rsidR="00CE446C" w:rsidRDefault="00CE446C">
      <w:pPr>
        <w:pStyle w:val="Textodenotaderodap"/>
      </w:pPr>
      <w:r>
        <w:rPr>
          <w:rStyle w:val="Refdenotaderodap"/>
        </w:rPr>
        <w:footnoteRef/>
      </w:r>
      <w:r>
        <w:t xml:space="preserve"> </w:t>
      </w:r>
      <w:r w:rsidR="00A3018F">
        <w:t>CARVALHO, Paulo de Barros. Direito Tributário: linguagem método. 6ª ed. São Paulo: Noeses, 2015.p. 831.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acomgrade"/>
      <w:tblW w:w="8936" w:type="dxa"/>
      <w:tblInd w:w="-284" w:type="dxa"/>
      <w:tblLook w:val="04A0" w:firstRow="1" w:lastRow="0" w:firstColumn="1" w:lastColumn="0" w:noHBand="0" w:noVBand="1"/>
    </w:tblPr>
    <w:tblGrid>
      <w:gridCol w:w="1418"/>
      <w:gridCol w:w="7518"/>
    </w:tblGrid>
    <w:tr w:rsidR="007F2A98" w14:paraId="5019462C" w14:textId="77777777" w:rsidTr="00DA6EB4">
      <w:trPr>
        <w:trHeight w:val="1969"/>
      </w:trPr>
      <w:tc>
        <w:tcPr>
          <w:tcW w:w="1418" w:type="dxa"/>
          <w:tcBorders>
            <w:top w:val="nil"/>
            <w:left w:val="nil"/>
            <w:bottom w:val="nil"/>
            <w:right w:val="nil"/>
          </w:tcBorders>
        </w:tcPr>
        <w:p w14:paraId="3021383D" w14:textId="77777777" w:rsidR="007F2A98" w:rsidRDefault="007F2A98" w:rsidP="007F2A98">
          <w:pPr>
            <w:pStyle w:val="Cabealho"/>
            <w:jc w:val="center"/>
          </w:pPr>
          <w:bookmarkStart w:id="2" w:name="_Hlk160718267"/>
          <w:bookmarkStart w:id="3" w:name="_Hlk160718268"/>
          <w:bookmarkStart w:id="4" w:name="_Hlk160718352"/>
          <w:bookmarkStart w:id="5" w:name="_Hlk160718353"/>
          <w:r>
            <w:rPr>
              <w:noProof/>
            </w:rPr>
            <w:drawing>
              <wp:anchor distT="0" distB="0" distL="114300" distR="114300" simplePos="0" relativeHeight="251659264" behindDoc="0" locked="0" layoutInCell="1" allowOverlap="1" wp14:anchorId="198E5E94" wp14:editId="05CF1422">
                <wp:simplePos x="0" y="0"/>
                <wp:positionH relativeFrom="column">
                  <wp:posOffset>94615</wp:posOffset>
                </wp:positionH>
                <wp:positionV relativeFrom="paragraph">
                  <wp:posOffset>74295</wp:posOffset>
                </wp:positionV>
                <wp:extent cx="676275" cy="1104900"/>
                <wp:effectExtent l="0" t="0" r="9525" b="0"/>
                <wp:wrapNone/>
                <wp:docPr id="754429055" name="Imagem 754429055" descr="logo_PUCSP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PUCSP_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7627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518" w:type="dxa"/>
          <w:tcBorders>
            <w:top w:val="nil"/>
            <w:left w:val="nil"/>
            <w:bottom w:val="nil"/>
            <w:right w:val="nil"/>
          </w:tcBorders>
          <w:vAlign w:val="center"/>
        </w:tcPr>
        <w:p w14:paraId="05773855" w14:textId="77777777" w:rsidR="007F2A98" w:rsidRPr="00D760F0" w:rsidRDefault="007F2A98" w:rsidP="007F2A98">
          <w:pPr>
            <w:jc w:val="center"/>
            <w:rPr>
              <w:rFonts w:ascii="Georgia" w:hAnsi="Georgia"/>
              <w:b/>
              <w:sz w:val="28"/>
              <w:szCs w:val="30"/>
            </w:rPr>
          </w:pPr>
          <w:r w:rsidRPr="00D760F0">
            <w:rPr>
              <w:rFonts w:ascii="Georgia" w:hAnsi="Georgia"/>
              <w:b/>
              <w:sz w:val="28"/>
              <w:szCs w:val="30"/>
            </w:rPr>
            <w:t>Pontifícia Universidade Católica de São Paulo</w:t>
          </w:r>
        </w:p>
        <w:p w14:paraId="49B8C2E2" w14:textId="77777777" w:rsidR="007F2A98" w:rsidRPr="00D57D5D" w:rsidRDefault="007F2A98" w:rsidP="007F2A98">
          <w:pPr>
            <w:spacing w:after="100" w:afterAutospacing="1"/>
            <w:jc w:val="center"/>
            <w:rPr>
              <w:rFonts w:ascii="Georgia" w:hAnsi="Georgia"/>
              <w:sz w:val="16"/>
              <w:szCs w:val="30"/>
            </w:rPr>
          </w:pPr>
          <w:proofErr w:type="spellStart"/>
          <w:r w:rsidRPr="00E31A0B">
            <w:rPr>
              <w:rFonts w:ascii="Georgia" w:hAnsi="Georgia"/>
              <w:sz w:val="28"/>
              <w:szCs w:val="30"/>
            </w:rPr>
            <w:t>Pró-Reitoria</w:t>
          </w:r>
          <w:proofErr w:type="spellEnd"/>
          <w:r w:rsidRPr="00E31A0B">
            <w:rPr>
              <w:rFonts w:ascii="Georgia" w:hAnsi="Georgia"/>
              <w:sz w:val="28"/>
              <w:szCs w:val="30"/>
            </w:rPr>
            <w:t xml:space="preserve"> de Educação Continuada</w:t>
          </w:r>
          <w:r>
            <w:rPr>
              <w:rFonts w:ascii="Georgia" w:hAnsi="Georgia"/>
              <w:sz w:val="28"/>
              <w:szCs w:val="30"/>
            </w:rPr>
            <w:br/>
          </w:r>
          <w:r w:rsidRPr="00D06926">
            <w:rPr>
              <w:rFonts w:ascii="Georgia" w:hAnsi="Georgia"/>
              <w:sz w:val="24"/>
              <w:szCs w:val="30"/>
            </w:rPr>
            <w:t>Coordenadoria Geral de Especialização, Aperfeiçoamento e Extensão</w:t>
          </w:r>
          <w:r>
            <w:rPr>
              <w:rFonts w:ascii="Georgia" w:hAnsi="Georgia"/>
              <w:sz w:val="24"/>
              <w:szCs w:val="30"/>
            </w:rPr>
            <w:br/>
          </w:r>
          <w:r w:rsidRPr="004362F2">
            <w:rPr>
              <w:rFonts w:ascii="Georgia" w:hAnsi="Georgia"/>
              <w:sz w:val="16"/>
              <w:szCs w:val="30"/>
            </w:rPr>
            <w:t>Reconhecida pelo Decreto-Lei nº 9632 em 22 de agosto de 1946.</w:t>
          </w:r>
          <w:r>
            <w:rPr>
              <w:rFonts w:ascii="Georgia" w:hAnsi="Georgia"/>
              <w:sz w:val="16"/>
              <w:szCs w:val="30"/>
            </w:rPr>
            <w:br/>
          </w:r>
          <w:proofErr w:type="spellStart"/>
          <w:r w:rsidRPr="004362F2">
            <w:rPr>
              <w:rFonts w:ascii="Georgia" w:hAnsi="Georgia"/>
              <w:sz w:val="16"/>
              <w:szCs w:val="30"/>
            </w:rPr>
            <w:t>Recredenciada</w:t>
          </w:r>
          <w:proofErr w:type="spellEnd"/>
          <w:r w:rsidRPr="004362F2">
            <w:rPr>
              <w:rFonts w:ascii="Georgia" w:hAnsi="Georgia"/>
              <w:sz w:val="16"/>
              <w:szCs w:val="30"/>
            </w:rPr>
            <w:t xml:space="preserve"> pela Portaria do MEC nº 622 de 17 de maio de 2012, DOU de 18/05/2012.</w:t>
          </w:r>
        </w:p>
      </w:tc>
    </w:tr>
    <w:bookmarkEnd w:id="2"/>
    <w:bookmarkEnd w:id="3"/>
    <w:bookmarkEnd w:id="4"/>
    <w:bookmarkEnd w:id="5"/>
  </w:tbl>
  <w:p w14:paraId="74A5D94D" w14:textId="77777777" w:rsidR="007F2A98" w:rsidRDefault="007F2A98" w:rsidP="007F2A9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A235C"/>
    <w:multiLevelType w:val="multilevel"/>
    <w:tmpl w:val="991A24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C23083"/>
    <w:multiLevelType w:val="hybridMultilevel"/>
    <w:tmpl w:val="944E09B8"/>
    <w:lvl w:ilvl="0" w:tplc="04160017">
      <w:start w:val="1"/>
      <w:numFmt w:val="lowerLetter"/>
      <w:lvlText w:val="%1)"/>
      <w:lvlJc w:val="left"/>
      <w:pPr>
        <w:tabs>
          <w:tab w:val="num" w:pos="1080"/>
        </w:tabs>
        <w:ind w:left="1080" w:hanging="360"/>
      </w:pPr>
      <w:rPr>
        <w:rFonts w:cs="Times New Roman"/>
      </w:rPr>
    </w:lvl>
    <w:lvl w:ilvl="1" w:tplc="04160019" w:tentative="1">
      <w:start w:val="1"/>
      <w:numFmt w:val="lowerLetter"/>
      <w:lvlText w:val="%2."/>
      <w:lvlJc w:val="left"/>
      <w:pPr>
        <w:tabs>
          <w:tab w:val="num" w:pos="1800"/>
        </w:tabs>
        <w:ind w:left="1800" w:hanging="360"/>
      </w:pPr>
      <w:rPr>
        <w:rFonts w:cs="Times New Roman"/>
      </w:rPr>
    </w:lvl>
    <w:lvl w:ilvl="2" w:tplc="0416001B" w:tentative="1">
      <w:start w:val="1"/>
      <w:numFmt w:val="lowerRoman"/>
      <w:lvlText w:val="%3."/>
      <w:lvlJc w:val="right"/>
      <w:pPr>
        <w:tabs>
          <w:tab w:val="num" w:pos="2520"/>
        </w:tabs>
        <w:ind w:left="2520" w:hanging="180"/>
      </w:pPr>
      <w:rPr>
        <w:rFonts w:cs="Times New Roman"/>
      </w:rPr>
    </w:lvl>
    <w:lvl w:ilvl="3" w:tplc="0416000F" w:tentative="1">
      <w:start w:val="1"/>
      <w:numFmt w:val="decimal"/>
      <w:lvlText w:val="%4."/>
      <w:lvlJc w:val="left"/>
      <w:pPr>
        <w:tabs>
          <w:tab w:val="num" w:pos="3240"/>
        </w:tabs>
        <w:ind w:left="3240" w:hanging="360"/>
      </w:pPr>
      <w:rPr>
        <w:rFonts w:cs="Times New Roman"/>
      </w:rPr>
    </w:lvl>
    <w:lvl w:ilvl="4" w:tplc="04160019" w:tentative="1">
      <w:start w:val="1"/>
      <w:numFmt w:val="lowerLetter"/>
      <w:lvlText w:val="%5."/>
      <w:lvlJc w:val="left"/>
      <w:pPr>
        <w:tabs>
          <w:tab w:val="num" w:pos="3960"/>
        </w:tabs>
        <w:ind w:left="3960" w:hanging="360"/>
      </w:pPr>
      <w:rPr>
        <w:rFonts w:cs="Times New Roman"/>
      </w:rPr>
    </w:lvl>
    <w:lvl w:ilvl="5" w:tplc="0416001B" w:tentative="1">
      <w:start w:val="1"/>
      <w:numFmt w:val="lowerRoman"/>
      <w:lvlText w:val="%6."/>
      <w:lvlJc w:val="right"/>
      <w:pPr>
        <w:tabs>
          <w:tab w:val="num" w:pos="4680"/>
        </w:tabs>
        <w:ind w:left="4680" w:hanging="180"/>
      </w:pPr>
      <w:rPr>
        <w:rFonts w:cs="Times New Roman"/>
      </w:rPr>
    </w:lvl>
    <w:lvl w:ilvl="6" w:tplc="0416000F" w:tentative="1">
      <w:start w:val="1"/>
      <w:numFmt w:val="decimal"/>
      <w:lvlText w:val="%7."/>
      <w:lvlJc w:val="left"/>
      <w:pPr>
        <w:tabs>
          <w:tab w:val="num" w:pos="5400"/>
        </w:tabs>
        <w:ind w:left="5400" w:hanging="360"/>
      </w:pPr>
      <w:rPr>
        <w:rFonts w:cs="Times New Roman"/>
      </w:rPr>
    </w:lvl>
    <w:lvl w:ilvl="7" w:tplc="04160019" w:tentative="1">
      <w:start w:val="1"/>
      <w:numFmt w:val="lowerLetter"/>
      <w:lvlText w:val="%8."/>
      <w:lvlJc w:val="left"/>
      <w:pPr>
        <w:tabs>
          <w:tab w:val="num" w:pos="6120"/>
        </w:tabs>
        <w:ind w:left="6120" w:hanging="360"/>
      </w:pPr>
      <w:rPr>
        <w:rFonts w:cs="Times New Roman"/>
      </w:rPr>
    </w:lvl>
    <w:lvl w:ilvl="8" w:tplc="0416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08AA1975"/>
    <w:multiLevelType w:val="singleLevel"/>
    <w:tmpl w:val="0416000F"/>
    <w:lvl w:ilvl="0">
      <w:start w:val="1"/>
      <w:numFmt w:val="decimal"/>
      <w:lvlText w:val="%1."/>
      <w:legacy w:legacy="1" w:legacySpace="0" w:legacyIndent="360"/>
      <w:lvlJc w:val="left"/>
      <w:pPr>
        <w:ind w:left="360" w:hanging="360"/>
      </w:pPr>
      <w:rPr>
        <w:rFonts w:cs="Times New Roman"/>
      </w:rPr>
    </w:lvl>
  </w:abstractNum>
  <w:abstractNum w:abstractNumId="3" w15:restartNumberingAfterBreak="0">
    <w:nsid w:val="0A006223"/>
    <w:multiLevelType w:val="hybridMultilevel"/>
    <w:tmpl w:val="9AE267AA"/>
    <w:lvl w:ilvl="0" w:tplc="B72CA28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DEC390A"/>
    <w:multiLevelType w:val="singleLevel"/>
    <w:tmpl w:val="0416000F"/>
    <w:lvl w:ilvl="0">
      <w:start w:val="1"/>
      <w:numFmt w:val="decimal"/>
      <w:lvlText w:val="%1."/>
      <w:lvlJc w:val="left"/>
      <w:pPr>
        <w:tabs>
          <w:tab w:val="num" w:pos="360"/>
        </w:tabs>
        <w:ind w:left="360" w:hanging="360"/>
      </w:pPr>
      <w:rPr>
        <w:rFonts w:cs="Times New Roman" w:hint="default"/>
      </w:rPr>
    </w:lvl>
  </w:abstractNum>
  <w:abstractNum w:abstractNumId="5" w15:restartNumberingAfterBreak="0">
    <w:nsid w:val="10FD72FA"/>
    <w:multiLevelType w:val="singleLevel"/>
    <w:tmpl w:val="D258EF7A"/>
    <w:lvl w:ilvl="0">
      <w:start w:val="1"/>
      <w:numFmt w:val="decimal"/>
      <w:lvlText w:val="%1."/>
      <w:lvlJc w:val="left"/>
      <w:pPr>
        <w:tabs>
          <w:tab w:val="num" w:pos="360"/>
        </w:tabs>
        <w:ind w:left="360" w:hanging="360"/>
      </w:pPr>
      <w:rPr>
        <w:rFonts w:cs="Times New Roman"/>
        <w:b w:val="0"/>
      </w:rPr>
    </w:lvl>
  </w:abstractNum>
  <w:abstractNum w:abstractNumId="6" w15:restartNumberingAfterBreak="0">
    <w:nsid w:val="11CB400C"/>
    <w:multiLevelType w:val="hybridMultilevel"/>
    <w:tmpl w:val="D19A894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68E7767"/>
    <w:multiLevelType w:val="multilevel"/>
    <w:tmpl w:val="1A26A2CA"/>
    <w:lvl w:ilvl="0">
      <w:start w:val="1"/>
      <w:numFmt w:val="decimal"/>
      <w:lvlText w:val="%1."/>
      <w:lvlJc w:val="left"/>
      <w:pPr>
        <w:tabs>
          <w:tab w:val="num" w:pos="360"/>
        </w:tabs>
        <w:ind w:left="360" w:hanging="360"/>
      </w:pPr>
      <w:rPr>
        <w:rFonts w:ascii="Times New Roman" w:eastAsia="Times New Roman" w:hAnsi="Times New Roman" w:cs="Times New Roman"/>
      </w:rPr>
    </w:lvl>
    <w:lvl w:ilvl="1" w:tentative="1">
      <w:start w:val="1"/>
      <w:numFmt w:val="lowerLetter"/>
      <w:lvlText w:val="%2."/>
      <w:lvlJc w:val="left"/>
      <w:pPr>
        <w:tabs>
          <w:tab w:val="num" w:pos="1080"/>
        </w:tabs>
        <w:ind w:left="1080" w:hanging="360"/>
      </w:pPr>
      <w:rPr>
        <w:rFonts w:cs="Times New Roman"/>
      </w:rPr>
    </w:lvl>
    <w:lvl w:ilvl="2" w:tentative="1">
      <w:start w:val="1"/>
      <w:numFmt w:val="lowerRoman"/>
      <w:lvlText w:val="%3."/>
      <w:lvlJc w:val="right"/>
      <w:pPr>
        <w:tabs>
          <w:tab w:val="num" w:pos="1800"/>
        </w:tabs>
        <w:ind w:left="1800" w:hanging="18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lowerLetter"/>
      <w:lvlText w:val="%5."/>
      <w:lvlJc w:val="left"/>
      <w:pPr>
        <w:tabs>
          <w:tab w:val="num" w:pos="3240"/>
        </w:tabs>
        <w:ind w:left="3240" w:hanging="360"/>
      </w:pPr>
      <w:rPr>
        <w:rFonts w:cs="Times New Roman"/>
      </w:rPr>
    </w:lvl>
    <w:lvl w:ilvl="5" w:tentative="1">
      <w:start w:val="1"/>
      <w:numFmt w:val="lowerRoman"/>
      <w:lvlText w:val="%6."/>
      <w:lvlJc w:val="right"/>
      <w:pPr>
        <w:tabs>
          <w:tab w:val="num" w:pos="3960"/>
        </w:tabs>
        <w:ind w:left="3960" w:hanging="18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lowerLetter"/>
      <w:lvlText w:val="%8."/>
      <w:lvlJc w:val="left"/>
      <w:pPr>
        <w:tabs>
          <w:tab w:val="num" w:pos="5400"/>
        </w:tabs>
        <w:ind w:left="5400" w:hanging="360"/>
      </w:pPr>
      <w:rPr>
        <w:rFonts w:cs="Times New Roman"/>
      </w:rPr>
    </w:lvl>
    <w:lvl w:ilvl="8" w:tentative="1">
      <w:start w:val="1"/>
      <w:numFmt w:val="lowerRoman"/>
      <w:lvlText w:val="%9."/>
      <w:lvlJc w:val="right"/>
      <w:pPr>
        <w:tabs>
          <w:tab w:val="num" w:pos="6120"/>
        </w:tabs>
        <w:ind w:left="6120" w:hanging="180"/>
      </w:pPr>
      <w:rPr>
        <w:rFonts w:cs="Times New Roman"/>
      </w:rPr>
    </w:lvl>
  </w:abstractNum>
  <w:abstractNum w:abstractNumId="8" w15:restartNumberingAfterBreak="0">
    <w:nsid w:val="176B28DA"/>
    <w:multiLevelType w:val="hybridMultilevel"/>
    <w:tmpl w:val="059A3078"/>
    <w:lvl w:ilvl="0" w:tplc="AA0644C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E777878"/>
    <w:multiLevelType w:val="hybridMultilevel"/>
    <w:tmpl w:val="DD86E560"/>
    <w:lvl w:ilvl="0" w:tplc="3BBADBA6">
      <w:start w:val="1"/>
      <w:numFmt w:val="decimal"/>
      <w:lvlText w:val="%1."/>
      <w:lvlJc w:val="left"/>
      <w:pPr>
        <w:ind w:left="962" w:hanging="279"/>
      </w:pPr>
      <w:rPr>
        <w:rFonts w:ascii="Times New Roman" w:eastAsia="Times New Roman" w:hAnsi="Times New Roman" w:cs="Times New Roman" w:hint="default"/>
        <w:spacing w:val="-24"/>
        <w:w w:val="99"/>
        <w:sz w:val="24"/>
        <w:szCs w:val="24"/>
        <w:lang w:val="pt-PT" w:eastAsia="pt-PT" w:bidi="pt-PT"/>
      </w:rPr>
    </w:lvl>
    <w:lvl w:ilvl="1" w:tplc="C1E06826">
      <w:start w:val="1"/>
      <w:numFmt w:val="lowerLetter"/>
      <w:lvlText w:val="%2)"/>
      <w:lvlJc w:val="left"/>
      <w:pPr>
        <w:ind w:left="962" w:hanging="262"/>
      </w:pPr>
      <w:rPr>
        <w:rFonts w:ascii="Times New Roman" w:eastAsia="Times New Roman" w:hAnsi="Times New Roman" w:cs="Times New Roman" w:hint="default"/>
        <w:spacing w:val="-1"/>
        <w:w w:val="100"/>
        <w:sz w:val="24"/>
        <w:szCs w:val="24"/>
        <w:lang w:val="pt-PT" w:eastAsia="pt-PT" w:bidi="pt-PT"/>
      </w:rPr>
    </w:lvl>
    <w:lvl w:ilvl="2" w:tplc="F9EC7DA6">
      <w:numFmt w:val="bullet"/>
      <w:lvlText w:val="•"/>
      <w:lvlJc w:val="left"/>
      <w:pPr>
        <w:ind w:left="2673" w:hanging="262"/>
      </w:pPr>
      <w:rPr>
        <w:rFonts w:hint="default"/>
        <w:lang w:val="pt-PT" w:eastAsia="pt-PT" w:bidi="pt-PT"/>
      </w:rPr>
    </w:lvl>
    <w:lvl w:ilvl="3" w:tplc="CE74BB2E">
      <w:numFmt w:val="bullet"/>
      <w:lvlText w:val="•"/>
      <w:lvlJc w:val="left"/>
      <w:pPr>
        <w:ind w:left="3529" w:hanging="262"/>
      </w:pPr>
      <w:rPr>
        <w:rFonts w:hint="default"/>
        <w:lang w:val="pt-PT" w:eastAsia="pt-PT" w:bidi="pt-PT"/>
      </w:rPr>
    </w:lvl>
    <w:lvl w:ilvl="4" w:tplc="57689802">
      <w:numFmt w:val="bullet"/>
      <w:lvlText w:val="•"/>
      <w:lvlJc w:val="left"/>
      <w:pPr>
        <w:ind w:left="4386" w:hanging="262"/>
      </w:pPr>
      <w:rPr>
        <w:rFonts w:hint="default"/>
        <w:lang w:val="pt-PT" w:eastAsia="pt-PT" w:bidi="pt-PT"/>
      </w:rPr>
    </w:lvl>
    <w:lvl w:ilvl="5" w:tplc="27F06988">
      <w:numFmt w:val="bullet"/>
      <w:lvlText w:val="•"/>
      <w:lvlJc w:val="left"/>
      <w:pPr>
        <w:ind w:left="5243" w:hanging="262"/>
      </w:pPr>
      <w:rPr>
        <w:rFonts w:hint="default"/>
        <w:lang w:val="pt-PT" w:eastAsia="pt-PT" w:bidi="pt-PT"/>
      </w:rPr>
    </w:lvl>
    <w:lvl w:ilvl="6" w:tplc="1A6E78B4">
      <w:numFmt w:val="bullet"/>
      <w:lvlText w:val="•"/>
      <w:lvlJc w:val="left"/>
      <w:pPr>
        <w:ind w:left="6099" w:hanging="262"/>
      </w:pPr>
      <w:rPr>
        <w:rFonts w:hint="default"/>
        <w:lang w:val="pt-PT" w:eastAsia="pt-PT" w:bidi="pt-PT"/>
      </w:rPr>
    </w:lvl>
    <w:lvl w:ilvl="7" w:tplc="0456AEC6">
      <w:numFmt w:val="bullet"/>
      <w:lvlText w:val="•"/>
      <w:lvlJc w:val="left"/>
      <w:pPr>
        <w:ind w:left="6956" w:hanging="262"/>
      </w:pPr>
      <w:rPr>
        <w:rFonts w:hint="default"/>
        <w:lang w:val="pt-PT" w:eastAsia="pt-PT" w:bidi="pt-PT"/>
      </w:rPr>
    </w:lvl>
    <w:lvl w:ilvl="8" w:tplc="8FA643F0">
      <w:numFmt w:val="bullet"/>
      <w:lvlText w:val="•"/>
      <w:lvlJc w:val="left"/>
      <w:pPr>
        <w:ind w:left="7813" w:hanging="262"/>
      </w:pPr>
      <w:rPr>
        <w:rFonts w:hint="default"/>
        <w:lang w:val="pt-PT" w:eastAsia="pt-PT" w:bidi="pt-PT"/>
      </w:rPr>
    </w:lvl>
  </w:abstractNum>
  <w:abstractNum w:abstractNumId="10" w15:restartNumberingAfterBreak="0">
    <w:nsid w:val="26716D55"/>
    <w:multiLevelType w:val="hybridMultilevel"/>
    <w:tmpl w:val="C7D85DB6"/>
    <w:lvl w:ilvl="0" w:tplc="BF1E6680">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1" w15:restartNumberingAfterBreak="0">
    <w:nsid w:val="27785580"/>
    <w:multiLevelType w:val="hybridMultilevel"/>
    <w:tmpl w:val="3F68D794"/>
    <w:lvl w:ilvl="0" w:tplc="42309D70">
      <w:start w:val="1"/>
      <w:numFmt w:val="lowerLetter"/>
      <w:lvlText w:val="%1)"/>
      <w:lvlJc w:val="left"/>
      <w:pPr>
        <w:ind w:left="1271" w:hanging="42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2" w15:restartNumberingAfterBreak="0">
    <w:nsid w:val="293633E8"/>
    <w:multiLevelType w:val="hybridMultilevel"/>
    <w:tmpl w:val="2F82FBE4"/>
    <w:lvl w:ilvl="0" w:tplc="399EEC9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D623868"/>
    <w:multiLevelType w:val="hybridMultilevel"/>
    <w:tmpl w:val="6380A192"/>
    <w:lvl w:ilvl="0" w:tplc="11BA546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7EE575E"/>
    <w:multiLevelType w:val="hybridMultilevel"/>
    <w:tmpl w:val="7B9EC3A4"/>
    <w:lvl w:ilvl="0" w:tplc="0416000F">
      <w:start w:val="1"/>
      <w:numFmt w:val="lowerLetter"/>
      <w:lvlText w:val="%1)"/>
      <w:lvlJc w:val="left"/>
      <w:pPr>
        <w:tabs>
          <w:tab w:val="num" w:pos="720"/>
        </w:tabs>
        <w:ind w:left="720" w:hanging="360"/>
      </w:pPr>
      <w:rPr>
        <w:rFonts w:ascii="Times New Roman" w:eastAsia="Times New Roman" w:hAnsi="Times New Roman" w:cs="Times New Roman"/>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8DD459E"/>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B171105"/>
    <w:multiLevelType w:val="hybridMultilevel"/>
    <w:tmpl w:val="49747C24"/>
    <w:lvl w:ilvl="0" w:tplc="04160017">
      <w:start w:val="1"/>
      <w:numFmt w:val="lowerLetter"/>
      <w:lvlText w:val="%1)"/>
      <w:lvlJc w:val="left"/>
      <w:pPr>
        <w:tabs>
          <w:tab w:val="num" w:pos="720"/>
        </w:tabs>
        <w:ind w:left="720" w:hanging="360"/>
      </w:pPr>
      <w:rPr>
        <w:rFonts w:cs="Times New Roman"/>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3C327BA7"/>
    <w:multiLevelType w:val="hybridMultilevel"/>
    <w:tmpl w:val="D9AA0B98"/>
    <w:lvl w:ilvl="0" w:tplc="7A7E9C8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3CDE4E80"/>
    <w:multiLevelType w:val="hybridMultilevel"/>
    <w:tmpl w:val="1E96D084"/>
    <w:lvl w:ilvl="0" w:tplc="FFFFFFFF">
      <w:start w:val="1"/>
      <w:numFmt w:val="lowerLetter"/>
      <w:lvlText w:val="%1)"/>
      <w:lvlJc w:val="left"/>
      <w:pPr>
        <w:tabs>
          <w:tab w:val="num" w:pos="720"/>
        </w:tabs>
        <w:ind w:left="720" w:hanging="360"/>
      </w:pPr>
      <w:rPr>
        <w:rFonts w:ascii="Times New Roman" w:eastAsia="Times New Roman" w:hAnsi="Times New Roman"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9" w15:restartNumberingAfterBreak="0">
    <w:nsid w:val="49660B04"/>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20" w15:restartNumberingAfterBreak="0">
    <w:nsid w:val="52CA44B0"/>
    <w:multiLevelType w:val="hybridMultilevel"/>
    <w:tmpl w:val="A1FCC6B0"/>
    <w:lvl w:ilvl="0" w:tplc="FFFFFFFF">
      <w:start w:val="1"/>
      <w:numFmt w:val="decimal"/>
      <w:lvlText w:val="%1."/>
      <w:lvlJc w:val="left"/>
      <w:pPr>
        <w:tabs>
          <w:tab w:val="num" w:pos="360"/>
        </w:tabs>
        <w:ind w:left="360" w:hanging="360"/>
      </w:pPr>
      <w:rPr>
        <w:rFonts w:cs="Times New Roman"/>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21" w15:restartNumberingAfterBreak="0">
    <w:nsid w:val="53AF2F2A"/>
    <w:multiLevelType w:val="hybridMultilevel"/>
    <w:tmpl w:val="980C8200"/>
    <w:lvl w:ilvl="0" w:tplc="B3DA4F9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56900CE2"/>
    <w:multiLevelType w:val="hybridMultilevel"/>
    <w:tmpl w:val="B044BAD0"/>
    <w:lvl w:ilvl="0" w:tplc="143494AA">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23" w15:restartNumberingAfterBreak="0">
    <w:nsid w:val="57907EBB"/>
    <w:multiLevelType w:val="hybridMultilevel"/>
    <w:tmpl w:val="A296D9D2"/>
    <w:lvl w:ilvl="0" w:tplc="04160017">
      <w:start w:val="1"/>
      <w:numFmt w:val="lowerLetter"/>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57981CE6"/>
    <w:multiLevelType w:val="hybridMultilevel"/>
    <w:tmpl w:val="D49ACC7E"/>
    <w:lvl w:ilvl="0" w:tplc="E2CC4E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7B57FE5"/>
    <w:multiLevelType w:val="hybridMultilevel"/>
    <w:tmpl w:val="E7BCD56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59A30071"/>
    <w:multiLevelType w:val="hybridMultilevel"/>
    <w:tmpl w:val="445AAD4C"/>
    <w:lvl w:ilvl="0" w:tplc="FFFFFFFF">
      <w:start w:val="1"/>
      <w:numFmt w:val="lowerLetter"/>
      <w:lvlText w:val="%1)"/>
      <w:lvlJc w:val="left"/>
      <w:pPr>
        <w:tabs>
          <w:tab w:val="num" w:pos="720"/>
        </w:tabs>
        <w:ind w:left="720" w:hanging="360"/>
      </w:pPr>
      <w:rPr>
        <w:rFonts w:ascii="Times New Roman" w:eastAsia="Times New Roman" w:hAnsi="Times New Roman"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7" w15:restartNumberingAfterBreak="0">
    <w:nsid w:val="5D195EC1"/>
    <w:multiLevelType w:val="hybridMultilevel"/>
    <w:tmpl w:val="D4F8C31E"/>
    <w:lvl w:ilvl="0" w:tplc="04160017">
      <w:start w:val="1"/>
      <w:numFmt w:val="lowerLetter"/>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5D863209"/>
    <w:multiLevelType w:val="hybridMultilevel"/>
    <w:tmpl w:val="78B8A6C2"/>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29" w15:restartNumberingAfterBreak="0">
    <w:nsid w:val="5EA119D5"/>
    <w:multiLevelType w:val="hybridMultilevel"/>
    <w:tmpl w:val="09068CD0"/>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0" w15:restartNumberingAfterBreak="0">
    <w:nsid w:val="607A7390"/>
    <w:multiLevelType w:val="hybridMultilevel"/>
    <w:tmpl w:val="EF02DB7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63626CF6"/>
    <w:multiLevelType w:val="hybridMultilevel"/>
    <w:tmpl w:val="70FA8FC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60B08AD"/>
    <w:multiLevelType w:val="hybridMultilevel"/>
    <w:tmpl w:val="B0B0F5E4"/>
    <w:lvl w:ilvl="0" w:tplc="587C0C8C">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3" w15:restartNumberingAfterBreak="0">
    <w:nsid w:val="6958231D"/>
    <w:multiLevelType w:val="hybridMultilevel"/>
    <w:tmpl w:val="2BEC6FDE"/>
    <w:lvl w:ilvl="0" w:tplc="80303A34">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6A271950"/>
    <w:multiLevelType w:val="hybridMultilevel"/>
    <w:tmpl w:val="EF620662"/>
    <w:lvl w:ilvl="0" w:tplc="EA44C9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6A755021"/>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36" w15:restartNumberingAfterBreak="0">
    <w:nsid w:val="6B817DF2"/>
    <w:multiLevelType w:val="hybridMultilevel"/>
    <w:tmpl w:val="25B4BE12"/>
    <w:lvl w:ilvl="0" w:tplc="04160017">
      <w:start w:val="1"/>
      <w:numFmt w:val="lowerLetter"/>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15:restartNumberingAfterBreak="0">
    <w:nsid w:val="72AC7314"/>
    <w:multiLevelType w:val="hybridMultilevel"/>
    <w:tmpl w:val="525C036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42E521E"/>
    <w:multiLevelType w:val="hybridMultilevel"/>
    <w:tmpl w:val="987C7C0E"/>
    <w:lvl w:ilvl="0" w:tplc="7C623E0A">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9" w15:restartNumberingAfterBreak="0">
    <w:nsid w:val="74E30B1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76526A8F"/>
    <w:multiLevelType w:val="hybridMultilevel"/>
    <w:tmpl w:val="64DA5E2C"/>
    <w:lvl w:ilvl="0" w:tplc="E4DC7F9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768C3D0D"/>
    <w:multiLevelType w:val="hybridMultilevel"/>
    <w:tmpl w:val="ED383452"/>
    <w:lvl w:ilvl="0" w:tplc="7AF6CC5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7734495D"/>
    <w:multiLevelType w:val="hybridMultilevel"/>
    <w:tmpl w:val="7B025D92"/>
    <w:lvl w:ilvl="0" w:tplc="8F54373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C7F59D4"/>
    <w:multiLevelType w:val="hybridMultilevel"/>
    <w:tmpl w:val="4B3CCA28"/>
    <w:lvl w:ilvl="0" w:tplc="8E06FF0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630936169">
    <w:abstractNumId w:val="39"/>
  </w:num>
  <w:num w:numId="2" w16cid:durableId="2105689794">
    <w:abstractNumId w:val="4"/>
  </w:num>
  <w:num w:numId="3" w16cid:durableId="147357400">
    <w:abstractNumId w:val="35"/>
  </w:num>
  <w:num w:numId="4" w16cid:durableId="1933853464">
    <w:abstractNumId w:val="0"/>
  </w:num>
  <w:num w:numId="5" w16cid:durableId="685643146">
    <w:abstractNumId w:val="15"/>
  </w:num>
  <w:num w:numId="6" w16cid:durableId="243684658">
    <w:abstractNumId w:val="5"/>
    <w:lvlOverride w:ilvl="0">
      <w:startOverride w:val="1"/>
    </w:lvlOverride>
  </w:num>
  <w:num w:numId="7" w16cid:durableId="1485197498">
    <w:abstractNumId w:val="36"/>
  </w:num>
  <w:num w:numId="8" w16cid:durableId="62411385">
    <w:abstractNumId w:val="7"/>
  </w:num>
  <w:num w:numId="9" w16cid:durableId="1844583525">
    <w:abstractNumId w:val="19"/>
  </w:num>
  <w:num w:numId="10" w16cid:durableId="617109503">
    <w:abstractNumId w:val="27"/>
  </w:num>
  <w:num w:numId="11" w16cid:durableId="187580410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8218636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92763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553347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1470460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25563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689985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09316879">
    <w:abstractNumId w:val="16"/>
  </w:num>
  <w:num w:numId="19" w16cid:durableId="1066993679">
    <w:abstractNumId w:val="1"/>
  </w:num>
  <w:num w:numId="20" w16cid:durableId="14138644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97821764">
    <w:abstractNumId w:val="2"/>
  </w:num>
  <w:num w:numId="22" w16cid:durableId="905146441">
    <w:abstractNumId w:val="23"/>
  </w:num>
  <w:num w:numId="23" w16cid:durableId="1830561448">
    <w:abstractNumId w:val="6"/>
  </w:num>
  <w:num w:numId="24" w16cid:durableId="1212841168">
    <w:abstractNumId w:val="9"/>
  </w:num>
  <w:num w:numId="25" w16cid:durableId="1077823265">
    <w:abstractNumId w:val="30"/>
  </w:num>
  <w:num w:numId="26" w16cid:durableId="1894734540">
    <w:abstractNumId w:val="25"/>
  </w:num>
  <w:num w:numId="27" w16cid:durableId="1485199321">
    <w:abstractNumId w:val="28"/>
  </w:num>
  <w:num w:numId="28" w16cid:durableId="1401171686">
    <w:abstractNumId w:val="40"/>
  </w:num>
  <w:num w:numId="29" w16cid:durableId="700323019">
    <w:abstractNumId w:val="37"/>
  </w:num>
  <w:num w:numId="30" w16cid:durableId="1511481955">
    <w:abstractNumId w:val="43"/>
  </w:num>
  <w:num w:numId="31" w16cid:durableId="90856971">
    <w:abstractNumId w:val="11"/>
  </w:num>
  <w:num w:numId="32" w16cid:durableId="1456368087">
    <w:abstractNumId w:val="41"/>
  </w:num>
  <w:num w:numId="33" w16cid:durableId="993140839">
    <w:abstractNumId w:val="8"/>
  </w:num>
  <w:num w:numId="34" w16cid:durableId="1607229479">
    <w:abstractNumId w:val="34"/>
  </w:num>
  <w:num w:numId="35" w16cid:durableId="1228106420">
    <w:abstractNumId w:val="42"/>
  </w:num>
  <w:num w:numId="36" w16cid:durableId="1249802377">
    <w:abstractNumId w:val="24"/>
  </w:num>
  <w:num w:numId="37" w16cid:durableId="206527755">
    <w:abstractNumId w:val="38"/>
  </w:num>
  <w:num w:numId="38" w16cid:durableId="524901544">
    <w:abstractNumId w:val="21"/>
  </w:num>
  <w:num w:numId="39" w16cid:durableId="371345776">
    <w:abstractNumId w:val="12"/>
  </w:num>
  <w:num w:numId="40" w16cid:durableId="150953797">
    <w:abstractNumId w:val="32"/>
  </w:num>
  <w:num w:numId="41" w16cid:durableId="1364869800">
    <w:abstractNumId w:val="3"/>
  </w:num>
  <w:num w:numId="42" w16cid:durableId="1241911107">
    <w:abstractNumId w:val="17"/>
  </w:num>
  <w:num w:numId="43" w16cid:durableId="292372827">
    <w:abstractNumId w:val="13"/>
  </w:num>
  <w:num w:numId="44" w16cid:durableId="211188752">
    <w:abstractNumId w:val="33"/>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299"/>
    <w:rsid w:val="000012F5"/>
    <w:rsid w:val="000017C4"/>
    <w:rsid w:val="00002382"/>
    <w:rsid w:val="000043D1"/>
    <w:rsid w:val="00006A25"/>
    <w:rsid w:val="000071C9"/>
    <w:rsid w:val="00007ADC"/>
    <w:rsid w:val="0001066A"/>
    <w:rsid w:val="00016318"/>
    <w:rsid w:val="0002147F"/>
    <w:rsid w:val="00022F7C"/>
    <w:rsid w:val="0002660B"/>
    <w:rsid w:val="000312BC"/>
    <w:rsid w:val="000335AD"/>
    <w:rsid w:val="00034182"/>
    <w:rsid w:val="00034233"/>
    <w:rsid w:val="0003583E"/>
    <w:rsid w:val="0004058C"/>
    <w:rsid w:val="00041A17"/>
    <w:rsid w:val="00041B3A"/>
    <w:rsid w:val="00042A39"/>
    <w:rsid w:val="00044A99"/>
    <w:rsid w:val="00045722"/>
    <w:rsid w:val="00045B99"/>
    <w:rsid w:val="000560D4"/>
    <w:rsid w:val="00057384"/>
    <w:rsid w:val="000609A8"/>
    <w:rsid w:val="00061103"/>
    <w:rsid w:val="00061521"/>
    <w:rsid w:val="000656CA"/>
    <w:rsid w:val="00065F5D"/>
    <w:rsid w:val="0006717C"/>
    <w:rsid w:val="00070780"/>
    <w:rsid w:val="00074527"/>
    <w:rsid w:val="000751B5"/>
    <w:rsid w:val="000808F5"/>
    <w:rsid w:val="00080CB1"/>
    <w:rsid w:val="00080F0C"/>
    <w:rsid w:val="000814C8"/>
    <w:rsid w:val="00082A9B"/>
    <w:rsid w:val="00083D74"/>
    <w:rsid w:val="00084FE2"/>
    <w:rsid w:val="00086BFE"/>
    <w:rsid w:val="00087513"/>
    <w:rsid w:val="00092385"/>
    <w:rsid w:val="000935E7"/>
    <w:rsid w:val="000937DB"/>
    <w:rsid w:val="000954F7"/>
    <w:rsid w:val="00097129"/>
    <w:rsid w:val="000A23B1"/>
    <w:rsid w:val="000A4412"/>
    <w:rsid w:val="000A56AA"/>
    <w:rsid w:val="000B4B12"/>
    <w:rsid w:val="000B5883"/>
    <w:rsid w:val="000B66CE"/>
    <w:rsid w:val="000B7753"/>
    <w:rsid w:val="000B79FA"/>
    <w:rsid w:val="000C0315"/>
    <w:rsid w:val="000C0912"/>
    <w:rsid w:val="000C1C74"/>
    <w:rsid w:val="000C2307"/>
    <w:rsid w:val="000C54B6"/>
    <w:rsid w:val="000C6F0A"/>
    <w:rsid w:val="000C766C"/>
    <w:rsid w:val="000C79FB"/>
    <w:rsid w:val="000D1432"/>
    <w:rsid w:val="000D40EF"/>
    <w:rsid w:val="000D46DB"/>
    <w:rsid w:val="000D5D5D"/>
    <w:rsid w:val="000D633B"/>
    <w:rsid w:val="000E0C5F"/>
    <w:rsid w:val="000E1BFF"/>
    <w:rsid w:val="000E2E47"/>
    <w:rsid w:val="000E5A68"/>
    <w:rsid w:val="000E604A"/>
    <w:rsid w:val="000E64B8"/>
    <w:rsid w:val="000E64C8"/>
    <w:rsid w:val="000E6947"/>
    <w:rsid w:val="000E7090"/>
    <w:rsid w:val="000F012E"/>
    <w:rsid w:val="000F29F3"/>
    <w:rsid w:val="000F660B"/>
    <w:rsid w:val="000F7FA0"/>
    <w:rsid w:val="00101352"/>
    <w:rsid w:val="0010159F"/>
    <w:rsid w:val="00104CA3"/>
    <w:rsid w:val="0011384F"/>
    <w:rsid w:val="0011462C"/>
    <w:rsid w:val="00114CFC"/>
    <w:rsid w:val="00117813"/>
    <w:rsid w:val="00117DF5"/>
    <w:rsid w:val="00120B70"/>
    <w:rsid w:val="001239A7"/>
    <w:rsid w:val="0012740B"/>
    <w:rsid w:val="0013233B"/>
    <w:rsid w:val="001325FF"/>
    <w:rsid w:val="001335DF"/>
    <w:rsid w:val="001410FA"/>
    <w:rsid w:val="00141CF1"/>
    <w:rsid w:val="00141CFE"/>
    <w:rsid w:val="00142840"/>
    <w:rsid w:val="00143F21"/>
    <w:rsid w:val="00147BEA"/>
    <w:rsid w:val="00147E08"/>
    <w:rsid w:val="00152A21"/>
    <w:rsid w:val="001533A4"/>
    <w:rsid w:val="001543EC"/>
    <w:rsid w:val="00155536"/>
    <w:rsid w:val="00156E87"/>
    <w:rsid w:val="0015736B"/>
    <w:rsid w:val="00160282"/>
    <w:rsid w:val="001605E1"/>
    <w:rsid w:val="001606A5"/>
    <w:rsid w:val="001623FB"/>
    <w:rsid w:val="0016388C"/>
    <w:rsid w:val="00163B04"/>
    <w:rsid w:val="00164E9E"/>
    <w:rsid w:val="00167B2F"/>
    <w:rsid w:val="00171C1C"/>
    <w:rsid w:val="00172FDB"/>
    <w:rsid w:val="00173E2E"/>
    <w:rsid w:val="00175CFD"/>
    <w:rsid w:val="00177BA0"/>
    <w:rsid w:val="001800FA"/>
    <w:rsid w:val="00181658"/>
    <w:rsid w:val="00182990"/>
    <w:rsid w:val="001930C5"/>
    <w:rsid w:val="00193854"/>
    <w:rsid w:val="001943FE"/>
    <w:rsid w:val="0019667B"/>
    <w:rsid w:val="00197E1C"/>
    <w:rsid w:val="001A1381"/>
    <w:rsid w:val="001A586B"/>
    <w:rsid w:val="001A6D1D"/>
    <w:rsid w:val="001A6D2B"/>
    <w:rsid w:val="001A79C3"/>
    <w:rsid w:val="001B6264"/>
    <w:rsid w:val="001B773B"/>
    <w:rsid w:val="001C3A35"/>
    <w:rsid w:val="001C4E2B"/>
    <w:rsid w:val="001C545E"/>
    <w:rsid w:val="001C5592"/>
    <w:rsid w:val="001C78E5"/>
    <w:rsid w:val="001C7A01"/>
    <w:rsid w:val="001D2A54"/>
    <w:rsid w:val="001D6ED8"/>
    <w:rsid w:val="001D7F03"/>
    <w:rsid w:val="001E0DB3"/>
    <w:rsid w:val="001E154D"/>
    <w:rsid w:val="001E1A26"/>
    <w:rsid w:val="001E301A"/>
    <w:rsid w:val="001E3082"/>
    <w:rsid w:val="001E37F6"/>
    <w:rsid w:val="001E3F37"/>
    <w:rsid w:val="001E4641"/>
    <w:rsid w:val="001E7289"/>
    <w:rsid w:val="001E7D55"/>
    <w:rsid w:val="001F0724"/>
    <w:rsid w:val="001F132B"/>
    <w:rsid w:val="001F3EED"/>
    <w:rsid w:val="001F5820"/>
    <w:rsid w:val="001F6351"/>
    <w:rsid w:val="0020210C"/>
    <w:rsid w:val="002046D7"/>
    <w:rsid w:val="002051A3"/>
    <w:rsid w:val="00207C74"/>
    <w:rsid w:val="00207EEE"/>
    <w:rsid w:val="002111F4"/>
    <w:rsid w:val="00211D01"/>
    <w:rsid w:val="002128BD"/>
    <w:rsid w:val="002129C7"/>
    <w:rsid w:val="00216280"/>
    <w:rsid w:val="0021752B"/>
    <w:rsid w:val="00223D8B"/>
    <w:rsid w:val="00224E06"/>
    <w:rsid w:val="0022620B"/>
    <w:rsid w:val="002263FD"/>
    <w:rsid w:val="00226E8F"/>
    <w:rsid w:val="0022720B"/>
    <w:rsid w:val="00227FFA"/>
    <w:rsid w:val="00230DF9"/>
    <w:rsid w:val="00232697"/>
    <w:rsid w:val="0023360E"/>
    <w:rsid w:val="00235A7C"/>
    <w:rsid w:val="00240315"/>
    <w:rsid w:val="00240F7A"/>
    <w:rsid w:val="002412AA"/>
    <w:rsid w:val="0024420F"/>
    <w:rsid w:val="00244496"/>
    <w:rsid w:val="00246210"/>
    <w:rsid w:val="00251321"/>
    <w:rsid w:val="00251332"/>
    <w:rsid w:val="00252A7E"/>
    <w:rsid w:val="002573C5"/>
    <w:rsid w:val="00266366"/>
    <w:rsid w:val="00267C6D"/>
    <w:rsid w:val="002702F4"/>
    <w:rsid w:val="0027079D"/>
    <w:rsid w:val="002716E7"/>
    <w:rsid w:val="00271976"/>
    <w:rsid w:val="002746AC"/>
    <w:rsid w:val="00274CB6"/>
    <w:rsid w:val="00276D4E"/>
    <w:rsid w:val="0028289F"/>
    <w:rsid w:val="0028292C"/>
    <w:rsid w:val="00282BDD"/>
    <w:rsid w:val="002831A2"/>
    <w:rsid w:val="00283FE5"/>
    <w:rsid w:val="00284756"/>
    <w:rsid w:val="00285BFA"/>
    <w:rsid w:val="00287836"/>
    <w:rsid w:val="00287D0C"/>
    <w:rsid w:val="00297129"/>
    <w:rsid w:val="002A0B36"/>
    <w:rsid w:val="002A39CB"/>
    <w:rsid w:val="002A5CAC"/>
    <w:rsid w:val="002A66B5"/>
    <w:rsid w:val="002A72AF"/>
    <w:rsid w:val="002A7CF0"/>
    <w:rsid w:val="002B0EE9"/>
    <w:rsid w:val="002B2683"/>
    <w:rsid w:val="002B289A"/>
    <w:rsid w:val="002B2D59"/>
    <w:rsid w:val="002B3711"/>
    <w:rsid w:val="002B4E06"/>
    <w:rsid w:val="002B5064"/>
    <w:rsid w:val="002B612D"/>
    <w:rsid w:val="002B6668"/>
    <w:rsid w:val="002C1301"/>
    <w:rsid w:val="002C14A8"/>
    <w:rsid w:val="002C1D28"/>
    <w:rsid w:val="002C2B22"/>
    <w:rsid w:val="002C6669"/>
    <w:rsid w:val="002C75EF"/>
    <w:rsid w:val="002D316B"/>
    <w:rsid w:val="002D522A"/>
    <w:rsid w:val="002D5926"/>
    <w:rsid w:val="002D7B2B"/>
    <w:rsid w:val="002D7DC1"/>
    <w:rsid w:val="002E3CAD"/>
    <w:rsid w:val="002F01D8"/>
    <w:rsid w:val="002F079A"/>
    <w:rsid w:val="002F2DEE"/>
    <w:rsid w:val="002F2E6E"/>
    <w:rsid w:val="002F31FD"/>
    <w:rsid w:val="002F38CA"/>
    <w:rsid w:val="002F4AA5"/>
    <w:rsid w:val="002F5354"/>
    <w:rsid w:val="002F586F"/>
    <w:rsid w:val="002F7694"/>
    <w:rsid w:val="002F7F48"/>
    <w:rsid w:val="0030019F"/>
    <w:rsid w:val="003031D8"/>
    <w:rsid w:val="00304C83"/>
    <w:rsid w:val="00311618"/>
    <w:rsid w:val="0031342B"/>
    <w:rsid w:val="00313BD2"/>
    <w:rsid w:val="00315472"/>
    <w:rsid w:val="00317A67"/>
    <w:rsid w:val="00320528"/>
    <w:rsid w:val="003223B4"/>
    <w:rsid w:val="00324CF3"/>
    <w:rsid w:val="003278AE"/>
    <w:rsid w:val="00330E55"/>
    <w:rsid w:val="0033136A"/>
    <w:rsid w:val="003336B1"/>
    <w:rsid w:val="00334BBD"/>
    <w:rsid w:val="003378B8"/>
    <w:rsid w:val="00342A4A"/>
    <w:rsid w:val="00342D19"/>
    <w:rsid w:val="00345153"/>
    <w:rsid w:val="00351255"/>
    <w:rsid w:val="00353385"/>
    <w:rsid w:val="00353CFB"/>
    <w:rsid w:val="00354E35"/>
    <w:rsid w:val="003569A7"/>
    <w:rsid w:val="00365B43"/>
    <w:rsid w:val="00367393"/>
    <w:rsid w:val="003727F0"/>
    <w:rsid w:val="003756FE"/>
    <w:rsid w:val="00375742"/>
    <w:rsid w:val="00376DB8"/>
    <w:rsid w:val="003778A9"/>
    <w:rsid w:val="003807F5"/>
    <w:rsid w:val="003824A6"/>
    <w:rsid w:val="00382502"/>
    <w:rsid w:val="00382E2F"/>
    <w:rsid w:val="00383ED2"/>
    <w:rsid w:val="00387A7A"/>
    <w:rsid w:val="00390E18"/>
    <w:rsid w:val="003913E7"/>
    <w:rsid w:val="00397772"/>
    <w:rsid w:val="00397EE5"/>
    <w:rsid w:val="003A2FD8"/>
    <w:rsid w:val="003B1A31"/>
    <w:rsid w:val="003B1AFB"/>
    <w:rsid w:val="003B2228"/>
    <w:rsid w:val="003B5E51"/>
    <w:rsid w:val="003B60BE"/>
    <w:rsid w:val="003B63EE"/>
    <w:rsid w:val="003B6632"/>
    <w:rsid w:val="003B793B"/>
    <w:rsid w:val="003B7BF1"/>
    <w:rsid w:val="003B7C0B"/>
    <w:rsid w:val="003C0E0A"/>
    <w:rsid w:val="003C0FEB"/>
    <w:rsid w:val="003C17F1"/>
    <w:rsid w:val="003C5A1D"/>
    <w:rsid w:val="003C6E9A"/>
    <w:rsid w:val="003C710A"/>
    <w:rsid w:val="003C74BD"/>
    <w:rsid w:val="003C7AB9"/>
    <w:rsid w:val="003D0276"/>
    <w:rsid w:val="003D04C2"/>
    <w:rsid w:val="003D061F"/>
    <w:rsid w:val="003D126E"/>
    <w:rsid w:val="003D1825"/>
    <w:rsid w:val="003D22C3"/>
    <w:rsid w:val="003D30E7"/>
    <w:rsid w:val="003D3611"/>
    <w:rsid w:val="003D38EF"/>
    <w:rsid w:val="003D45F6"/>
    <w:rsid w:val="003D77D5"/>
    <w:rsid w:val="003D7BC0"/>
    <w:rsid w:val="003E5373"/>
    <w:rsid w:val="003E5BBC"/>
    <w:rsid w:val="003E6D56"/>
    <w:rsid w:val="003F0F05"/>
    <w:rsid w:val="003F1A3A"/>
    <w:rsid w:val="003F31A5"/>
    <w:rsid w:val="003F3683"/>
    <w:rsid w:val="003F7155"/>
    <w:rsid w:val="003F7CF8"/>
    <w:rsid w:val="003F7FCC"/>
    <w:rsid w:val="00400ED8"/>
    <w:rsid w:val="00400FE4"/>
    <w:rsid w:val="0040226E"/>
    <w:rsid w:val="00402558"/>
    <w:rsid w:val="00403C45"/>
    <w:rsid w:val="0040576E"/>
    <w:rsid w:val="00406765"/>
    <w:rsid w:val="004073DB"/>
    <w:rsid w:val="00407934"/>
    <w:rsid w:val="00411BFD"/>
    <w:rsid w:val="0041263A"/>
    <w:rsid w:val="00412B42"/>
    <w:rsid w:val="004135A4"/>
    <w:rsid w:val="004136AF"/>
    <w:rsid w:val="00417ACB"/>
    <w:rsid w:val="00421EA6"/>
    <w:rsid w:val="00424017"/>
    <w:rsid w:val="00431491"/>
    <w:rsid w:val="004315AD"/>
    <w:rsid w:val="00433FD0"/>
    <w:rsid w:val="004340EC"/>
    <w:rsid w:val="004364AB"/>
    <w:rsid w:val="00436E45"/>
    <w:rsid w:val="00440283"/>
    <w:rsid w:val="004412C0"/>
    <w:rsid w:val="0044179E"/>
    <w:rsid w:val="00442F39"/>
    <w:rsid w:val="0044338F"/>
    <w:rsid w:val="00444665"/>
    <w:rsid w:val="004448EE"/>
    <w:rsid w:val="004464F3"/>
    <w:rsid w:val="00446E82"/>
    <w:rsid w:val="00454608"/>
    <w:rsid w:val="0045476A"/>
    <w:rsid w:val="00455709"/>
    <w:rsid w:val="00456806"/>
    <w:rsid w:val="00457B44"/>
    <w:rsid w:val="004626B9"/>
    <w:rsid w:val="00463937"/>
    <w:rsid w:val="00463BB1"/>
    <w:rsid w:val="00465843"/>
    <w:rsid w:val="004673AD"/>
    <w:rsid w:val="00467840"/>
    <w:rsid w:val="0047306E"/>
    <w:rsid w:val="00475536"/>
    <w:rsid w:val="00475785"/>
    <w:rsid w:val="004758AF"/>
    <w:rsid w:val="004777F9"/>
    <w:rsid w:val="00477F22"/>
    <w:rsid w:val="004819D0"/>
    <w:rsid w:val="00482007"/>
    <w:rsid w:val="00484B63"/>
    <w:rsid w:val="0048616C"/>
    <w:rsid w:val="00491606"/>
    <w:rsid w:val="004A1975"/>
    <w:rsid w:val="004A1DB7"/>
    <w:rsid w:val="004A21F1"/>
    <w:rsid w:val="004A2C18"/>
    <w:rsid w:val="004A48CF"/>
    <w:rsid w:val="004A631D"/>
    <w:rsid w:val="004A6C64"/>
    <w:rsid w:val="004B47CE"/>
    <w:rsid w:val="004B5A9F"/>
    <w:rsid w:val="004B6030"/>
    <w:rsid w:val="004B6AB3"/>
    <w:rsid w:val="004C068D"/>
    <w:rsid w:val="004C17BA"/>
    <w:rsid w:val="004C1B1E"/>
    <w:rsid w:val="004C1B38"/>
    <w:rsid w:val="004C2A58"/>
    <w:rsid w:val="004C334E"/>
    <w:rsid w:val="004C43DB"/>
    <w:rsid w:val="004C4B36"/>
    <w:rsid w:val="004C5D8C"/>
    <w:rsid w:val="004C78F3"/>
    <w:rsid w:val="004D017E"/>
    <w:rsid w:val="004D2E80"/>
    <w:rsid w:val="004D4FE0"/>
    <w:rsid w:val="004D697E"/>
    <w:rsid w:val="004D76A3"/>
    <w:rsid w:val="004E1191"/>
    <w:rsid w:val="004E44A2"/>
    <w:rsid w:val="004E56E2"/>
    <w:rsid w:val="004E5E1B"/>
    <w:rsid w:val="004F13DB"/>
    <w:rsid w:val="004F3DCF"/>
    <w:rsid w:val="004F4F59"/>
    <w:rsid w:val="004F52D9"/>
    <w:rsid w:val="004F5D9C"/>
    <w:rsid w:val="004F5F68"/>
    <w:rsid w:val="004F6CCB"/>
    <w:rsid w:val="005005E3"/>
    <w:rsid w:val="00500649"/>
    <w:rsid w:val="0050076B"/>
    <w:rsid w:val="00500787"/>
    <w:rsid w:val="00504804"/>
    <w:rsid w:val="00504EEF"/>
    <w:rsid w:val="00507F46"/>
    <w:rsid w:val="00511581"/>
    <w:rsid w:val="00511B8A"/>
    <w:rsid w:val="00513426"/>
    <w:rsid w:val="00517063"/>
    <w:rsid w:val="00520AB9"/>
    <w:rsid w:val="00520E4D"/>
    <w:rsid w:val="00521793"/>
    <w:rsid w:val="005235D0"/>
    <w:rsid w:val="005252D6"/>
    <w:rsid w:val="00527D6C"/>
    <w:rsid w:val="00531690"/>
    <w:rsid w:val="005318C2"/>
    <w:rsid w:val="005328ED"/>
    <w:rsid w:val="00535527"/>
    <w:rsid w:val="0053629F"/>
    <w:rsid w:val="0053725E"/>
    <w:rsid w:val="005421A9"/>
    <w:rsid w:val="005428C5"/>
    <w:rsid w:val="00546616"/>
    <w:rsid w:val="00550144"/>
    <w:rsid w:val="00550D8E"/>
    <w:rsid w:val="005550E4"/>
    <w:rsid w:val="0055778B"/>
    <w:rsid w:val="00562193"/>
    <w:rsid w:val="00563E0C"/>
    <w:rsid w:val="00570A7A"/>
    <w:rsid w:val="00573F18"/>
    <w:rsid w:val="00575530"/>
    <w:rsid w:val="00581BA3"/>
    <w:rsid w:val="005833BD"/>
    <w:rsid w:val="00583824"/>
    <w:rsid w:val="005871C5"/>
    <w:rsid w:val="00587529"/>
    <w:rsid w:val="0059101D"/>
    <w:rsid w:val="005942C9"/>
    <w:rsid w:val="00595C82"/>
    <w:rsid w:val="005965D3"/>
    <w:rsid w:val="00596BAA"/>
    <w:rsid w:val="00596E12"/>
    <w:rsid w:val="00596FEA"/>
    <w:rsid w:val="005A22ED"/>
    <w:rsid w:val="005A29F1"/>
    <w:rsid w:val="005A3C4E"/>
    <w:rsid w:val="005A5262"/>
    <w:rsid w:val="005A6514"/>
    <w:rsid w:val="005A65AD"/>
    <w:rsid w:val="005A7A8A"/>
    <w:rsid w:val="005A7DAF"/>
    <w:rsid w:val="005B0ACD"/>
    <w:rsid w:val="005B0CA4"/>
    <w:rsid w:val="005B2B9E"/>
    <w:rsid w:val="005B4D8C"/>
    <w:rsid w:val="005B6011"/>
    <w:rsid w:val="005C03E6"/>
    <w:rsid w:val="005C404B"/>
    <w:rsid w:val="005C451A"/>
    <w:rsid w:val="005C4A44"/>
    <w:rsid w:val="005C54A9"/>
    <w:rsid w:val="005C5C76"/>
    <w:rsid w:val="005D0F48"/>
    <w:rsid w:val="005D192C"/>
    <w:rsid w:val="005D246D"/>
    <w:rsid w:val="005D2D55"/>
    <w:rsid w:val="005D5898"/>
    <w:rsid w:val="005D651C"/>
    <w:rsid w:val="005D7DAF"/>
    <w:rsid w:val="005E7AE1"/>
    <w:rsid w:val="005F121D"/>
    <w:rsid w:val="005F2257"/>
    <w:rsid w:val="005F4767"/>
    <w:rsid w:val="005F52D2"/>
    <w:rsid w:val="005F5724"/>
    <w:rsid w:val="005F6B80"/>
    <w:rsid w:val="005F6DB9"/>
    <w:rsid w:val="00602C56"/>
    <w:rsid w:val="00603EC1"/>
    <w:rsid w:val="0060465A"/>
    <w:rsid w:val="00614221"/>
    <w:rsid w:val="00616293"/>
    <w:rsid w:val="00620304"/>
    <w:rsid w:val="00622D48"/>
    <w:rsid w:val="006233C3"/>
    <w:rsid w:val="00624B1C"/>
    <w:rsid w:val="00626207"/>
    <w:rsid w:val="006267AD"/>
    <w:rsid w:val="00627880"/>
    <w:rsid w:val="00634FED"/>
    <w:rsid w:val="006416BE"/>
    <w:rsid w:val="0064182F"/>
    <w:rsid w:val="00641EA6"/>
    <w:rsid w:val="00643B6B"/>
    <w:rsid w:val="00645D5B"/>
    <w:rsid w:val="00646F87"/>
    <w:rsid w:val="00653FE9"/>
    <w:rsid w:val="00654B45"/>
    <w:rsid w:val="00655243"/>
    <w:rsid w:val="006569D9"/>
    <w:rsid w:val="0066351E"/>
    <w:rsid w:val="006643D4"/>
    <w:rsid w:val="0066597F"/>
    <w:rsid w:val="006663B7"/>
    <w:rsid w:val="006672C1"/>
    <w:rsid w:val="00667FB6"/>
    <w:rsid w:val="00670639"/>
    <w:rsid w:val="00670641"/>
    <w:rsid w:val="00671B41"/>
    <w:rsid w:val="006725EA"/>
    <w:rsid w:val="00672A11"/>
    <w:rsid w:val="00675D98"/>
    <w:rsid w:val="0068088C"/>
    <w:rsid w:val="00681744"/>
    <w:rsid w:val="006866B9"/>
    <w:rsid w:val="00687A6A"/>
    <w:rsid w:val="00692FBF"/>
    <w:rsid w:val="0069304C"/>
    <w:rsid w:val="00696239"/>
    <w:rsid w:val="006A552C"/>
    <w:rsid w:val="006A55C1"/>
    <w:rsid w:val="006A6207"/>
    <w:rsid w:val="006A797E"/>
    <w:rsid w:val="006B2010"/>
    <w:rsid w:val="006B34FD"/>
    <w:rsid w:val="006B3F93"/>
    <w:rsid w:val="006B4185"/>
    <w:rsid w:val="006B5AF9"/>
    <w:rsid w:val="006B65E9"/>
    <w:rsid w:val="006C031D"/>
    <w:rsid w:val="006C04B8"/>
    <w:rsid w:val="006C1184"/>
    <w:rsid w:val="006C3AA6"/>
    <w:rsid w:val="006C40CF"/>
    <w:rsid w:val="006C66B4"/>
    <w:rsid w:val="006D0986"/>
    <w:rsid w:val="006D24AC"/>
    <w:rsid w:val="006D438C"/>
    <w:rsid w:val="006D47B1"/>
    <w:rsid w:val="006D4BD8"/>
    <w:rsid w:val="006D58B3"/>
    <w:rsid w:val="006D6A05"/>
    <w:rsid w:val="006D7BF3"/>
    <w:rsid w:val="006E057A"/>
    <w:rsid w:val="006E22F9"/>
    <w:rsid w:val="006E4785"/>
    <w:rsid w:val="006F6371"/>
    <w:rsid w:val="006F7768"/>
    <w:rsid w:val="007032C5"/>
    <w:rsid w:val="00703FBB"/>
    <w:rsid w:val="0070573B"/>
    <w:rsid w:val="0070673D"/>
    <w:rsid w:val="00711287"/>
    <w:rsid w:val="00713793"/>
    <w:rsid w:val="00713B2B"/>
    <w:rsid w:val="00715842"/>
    <w:rsid w:val="0072041D"/>
    <w:rsid w:val="0072643E"/>
    <w:rsid w:val="0073016D"/>
    <w:rsid w:val="00730CB2"/>
    <w:rsid w:val="00730F18"/>
    <w:rsid w:val="00731098"/>
    <w:rsid w:val="007342E5"/>
    <w:rsid w:val="007349C8"/>
    <w:rsid w:val="00734DFD"/>
    <w:rsid w:val="00735101"/>
    <w:rsid w:val="00735F05"/>
    <w:rsid w:val="007368BB"/>
    <w:rsid w:val="007373C9"/>
    <w:rsid w:val="00737801"/>
    <w:rsid w:val="0074153A"/>
    <w:rsid w:val="00741EB7"/>
    <w:rsid w:val="0074258B"/>
    <w:rsid w:val="007427E1"/>
    <w:rsid w:val="007433CE"/>
    <w:rsid w:val="00743437"/>
    <w:rsid w:val="00743B40"/>
    <w:rsid w:val="00746023"/>
    <w:rsid w:val="0075134F"/>
    <w:rsid w:val="0075264A"/>
    <w:rsid w:val="00756B4A"/>
    <w:rsid w:val="00757AAC"/>
    <w:rsid w:val="00766098"/>
    <w:rsid w:val="00772556"/>
    <w:rsid w:val="00774E13"/>
    <w:rsid w:val="00776CF0"/>
    <w:rsid w:val="00781099"/>
    <w:rsid w:val="00782C6B"/>
    <w:rsid w:val="00785182"/>
    <w:rsid w:val="007856DA"/>
    <w:rsid w:val="00785F89"/>
    <w:rsid w:val="0078630D"/>
    <w:rsid w:val="0078654F"/>
    <w:rsid w:val="00786AD8"/>
    <w:rsid w:val="00787EE3"/>
    <w:rsid w:val="007902FD"/>
    <w:rsid w:val="00795F2A"/>
    <w:rsid w:val="007964AB"/>
    <w:rsid w:val="00796B73"/>
    <w:rsid w:val="00796FF9"/>
    <w:rsid w:val="007A0CD2"/>
    <w:rsid w:val="007A44F2"/>
    <w:rsid w:val="007A750D"/>
    <w:rsid w:val="007A75D6"/>
    <w:rsid w:val="007A7AD5"/>
    <w:rsid w:val="007B05C4"/>
    <w:rsid w:val="007B2844"/>
    <w:rsid w:val="007B2A2D"/>
    <w:rsid w:val="007B5099"/>
    <w:rsid w:val="007B539D"/>
    <w:rsid w:val="007B5EA2"/>
    <w:rsid w:val="007B6941"/>
    <w:rsid w:val="007B7121"/>
    <w:rsid w:val="007C0491"/>
    <w:rsid w:val="007C10D9"/>
    <w:rsid w:val="007C4002"/>
    <w:rsid w:val="007C4544"/>
    <w:rsid w:val="007C5262"/>
    <w:rsid w:val="007C5382"/>
    <w:rsid w:val="007C5BBB"/>
    <w:rsid w:val="007C5C09"/>
    <w:rsid w:val="007C6003"/>
    <w:rsid w:val="007C60E8"/>
    <w:rsid w:val="007C7B68"/>
    <w:rsid w:val="007D216E"/>
    <w:rsid w:val="007E0F95"/>
    <w:rsid w:val="007E51C6"/>
    <w:rsid w:val="007E72DE"/>
    <w:rsid w:val="007E779A"/>
    <w:rsid w:val="007F0668"/>
    <w:rsid w:val="007F0B71"/>
    <w:rsid w:val="007F2A98"/>
    <w:rsid w:val="007F3A41"/>
    <w:rsid w:val="007F5D17"/>
    <w:rsid w:val="007F7059"/>
    <w:rsid w:val="007F74DC"/>
    <w:rsid w:val="007F7D5F"/>
    <w:rsid w:val="007F7DF3"/>
    <w:rsid w:val="007F7E7D"/>
    <w:rsid w:val="00800DEC"/>
    <w:rsid w:val="00801292"/>
    <w:rsid w:val="00801CB7"/>
    <w:rsid w:val="00801DE6"/>
    <w:rsid w:val="008055E9"/>
    <w:rsid w:val="00806151"/>
    <w:rsid w:val="00807A2E"/>
    <w:rsid w:val="00811C45"/>
    <w:rsid w:val="00816DC4"/>
    <w:rsid w:val="008171E7"/>
    <w:rsid w:val="0082006D"/>
    <w:rsid w:val="00820FD2"/>
    <w:rsid w:val="00821956"/>
    <w:rsid w:val="00821F3D"/>
    <w:rsid w:val="008222CE"/>
    <w:rsid w:val="00822FFC"/>
    <w:rsid w:val="00824484"/>
    <w:rsid w:val="00825B1B"/>
    <w:rsid w:val="008270EB"/>
    <w:rsid w:val="008309E8"/>
    <w:rsid w:val="00830A60"/>
    <w:rsid w:val="00831CA4"/>
    <w:rsid w:val="00833346"/>
    <w:rsid w:val="00834DC6"/>
    <w:rsid w:val="00835AB6"/>
    <w:rsid w:val="0083643B"/>
    <w:rsid w:val="00840251"/>
    <w:rsid w:val="0084063E"/>
    <w:rsid w:val="00842051"/>
    <w:rsid w:val="00844220"/>
    <w:rsid w:val="008446C1"/>
    <w:rsid w:val="00845392"/>
    <w:rsid w:val="008456B0"/>
    <w:rsid w:val="0084717C"/>
    <w:rsid w:val="0085101F"/>
    <w:rsid w:val="0085263D"/>
    <w:rsid w:val="00855DE6"/>
    <w:rsid w:val="00861C0C"/>
    <w:rsid w:val="00862F27"/>
    <w:rsid w:val="00863C63"/>
    <w:rsid w:val="00864BD5"/>
    <w:rsid w:val="008675D8"/>
    <w:rsid w:val="00871D10"/>
    <w:rsid w:val="008724D6"/>
    <w:rsid w:val="008766F7"/>
    <w:rsid w:val="00877A68"/>
    <w:rsid w:val="008814B4"/>
    <w:rsid w:val="0089193E"/>
    <w:rsid w:val="00893559"/>
    <w:rsid w:val="00893AB3"/>
    <w:rsid w:val="008941BC"/>
    <w:rsid w:val="0089584F"/>
    <w:rsid w:val="00895919"/>
    <w:rsid w:val="008A15EF"/>
    <w:rsid w:val="008A1A25"/>
    <w:rsid w:val="008A2003"/>
    <w:rsid w:val="008A2BEA"/>
    <w:rsid w:val="008B0587"/>
    <w:rsid w:val="008B074E"/>
    <w:rsid w:val="008B17A4"/>
    <w:rsid w:val="008B2344"/>
    <w:rsid w:val="008B2EB5"/>
    <w:rsid w:val="008B3C8E"/>
    <w:rsid w:val="008B52A7"/>
    <w:rsid w:val="008B5C80"/>
    <w:rsid w:val="008B7AF7"/>
    <w:rsid w:val="008C21F6"/>
    <w:rsid w:val="008C36B1"/>
    <w:rsid w:val="008C375F"/>
    <w:rsid w:val="008D1BE6"/>
    <w:rsid w:val="008D25CC"/>
    <w:rsid w:val="008D658D"/>
    <w:rsid w:val="008D6C90"/>
    <w:rsid w:val="008D7D92"/>
    <w:rsid w:val="008E06D1"/>
    <w:rsid w:val="008E127C"/>
    <w:rsid w:val="008E4638"/>
    <w:rsid w:val="008E5B82"/>
    <w:rsid w:val="008E617F"/>
    <w:rsid w:val="008E7517"/>
    <w:rsid w:val="008F0120"/>
    <w:rsid w:val="008F1F1F"/>
    <w:rsid w:val="008F24E6"/>
    <w:rsid w:val="008F5B26"/>
    <w:rsid w:val="008F5F8B"/>
    <w:rsid w:val="009004E8"/>
    <w:rsid w:val="00900B3B"/>
    <w:rsid w:val="00901B8E"/>
    <w:rsid w:val="0090497B"/>
    <w:rsid w:val="009064E7"/>
    <w:rsid w:val="009070DE"/>
    <w:rsid w:val="009072D7"/>
    <w:rsid w:val="0091014B"/>
    <w:rsid w:val="00911F0C"/>
    <w:rsid w:val="009155B2"/>
    <w:rsid w:val="00915D83"/>
    <w:rsid w:val="00920344"/>
    <w:rsid w:val="00922CE2"/>
    <w:rsid w:val="009273ED"/>
    <w:rsid w:val="00930821"/>
    <w:rsid w:val="009327A4"/>
    <w:rsid w:val="0093285F"/>
    <w:rsid w:val="00933A2D"/>
    <w:rsid w:val="00933A53"/>
    <w:rsid w:val="009356B1"/>
    <w:rsid w:val="00935AAC"/>
    <w:rsid w:val="00941DAE"/>
    <w:rsid w:val="00942FA2"/>
    <w:rsid w:val="00946D56"/>
    <w:rsid w:val="0094751C"/>
    <w:rsid w:val="00947800"/>
    <w:rsid w:val="00952390"/>
    <w:rsid w:val="00953D57"/>
    <w:rsid w:val="00953EEC"/>
    <w:rsid w:val="00955C91"/>
    <w:rsid w:val="0096056D"/>
    <w:rsid w:val="00960D6A"/>
    <w:rsid w:val="00962206"/>
    <w:rsid w:val="00962FB5"/>
    <w:rsid w:val="009677E9"/>
    <w:rsid w:val="00973053"/>
    <w:rsid w:val="00973EF4"/>
    <w:rsid w:val="009749EB"/>
    <w:rsid w:val="00976BEE"/>
    <w:rsid w:val="009827F5"/>
    <w:rsid w:val="0098308D"/>
    <w:rsid w:val="009831AB"/>
    <w:rsid w:val="00983856"/>
    <w:rsid w:val="0099411D"/>
    <w:rsid w:val="009A15AE"/>
    <w:rsid w:val="009A1D4F"/>
    <w:rsid w:val="009A1EC1"/>
    <w:rsid w:val="009A20A5"/>
    <w:rsid w:val="009A3326"/>
    <w:rsid w:val="009A3355"/>
    <w:rsid w:val="009A40BC"/>
    <w:rsid w:val="009A7CD2"/>
    <w:rsid w:val="009B0378"/>
    <w:rsid w:val="009B3AD8"/>
    <w:rsid w:val="009B40C0"/>
    <w:rsid w:val="009B5DD2"/>
    <w:rsid w:val="009B5FCB"/>
    <w:rsid w:val="009B737E"/>
    <w:rsid w:val="009C1875"/>
    <w:rsid w:val="009D0659"/>
    <w:rsid w:val="009D094C"/>
    <w:rsid w:val="009D1859"/>
    <w:rsid w:val="009E222A"/>
    <w:rsid w:val="009E2D04"/>
    <w:rsid w:val="009E341B"/>
    <w:rsid w:val="009E58B8"/>
    <w:rsid w:val="009E7105"/>
    <w:rsid w:val="009E730F"/>
    <w:rsid w:val="009E7EB3"/>
    <w:rsid w:val="009F09D5"/>
    <w:rsid w:val="009F0DD6"/>
    <w:rsid w:val="009F424C"/>
    <w:rsid w:val="009F7CC3"/>
    <w:rsid w:val="00A00BDF"/>
    <w:rsid w:val="00A03C01"/>
    <w:rsid w:val="00A0463E"/>
    <w:rsid w:val="00A07C90"/>
    <w:rsid w:val="00A10960"/>
    <w:rsid w:val="00A12BE2"/>
    <w:rsid w:val="00A135CE"/>
    <w:rsid w:val="00A14839"/>
    <w:rsid w:val="00A15BA1"/>
    <w:rsid w:val="00A16286"/>
    <w:rsid w:val="00A16740"/>
    <w:rsid w:val="00A2140C"/>
    <w:rsid w:val="00A21C53"/>
    <w:rsid w:val="00A228D3"/>
    <w:rsid w:val="00A2533E"/>
    <w:rsid w:val="00A26496"/>
    <w:rsid w:val="00A26D7F"/>
    <w:rsid w:val="00A2797C"/>
    <w:rsid w:val="00A3018F"/>
    <w:rsid w:val="00A3113C"/>
    <w:rsid w:val="00A330D5"/>
    <w:rsid w:val="00A3491C"/>
    <w:rsid w:val="00A35281"/>
    <w:rsid w:val="00A414EC"/>
    <w:rsid w:val="00A464C7"/>
    <w:rsid w:val="00A472EB"/>
    <w:rsid w:val="00A503DF"/>
    <w:rsid w:val="00A51607"/>
    <w:rsid w:val="00A53121"/>
    <w:rsid w:val="00A53C19"/>
    <w:rsid w:val="00A53C78"/>
    <w:rsid w:val="00A53F77"/>
    <w:rsid w:val="00A54C18"/>
    <w:rsid w:val="00A63EE7"/>
    <w:rsid w:val="00A6430B"/>
    <w:rsid w:val="00A66390"/>
    <w:rsid w:val="00A67E75"/>
    <w:rsid w:val="00A67FDD"/>
    <w:rsid w:val="00A73B0E"/>
    <w:rsid w:val="00A75F15"/>
    <w:rsid w:val="00A85F3F"/>
    <w:rsid w:val="00A87C12"/>
    <w:rsid w:val="00A902C2"/>
    <w:rsid w:val="00A905AE"/>
    <w:rsid w:val="00A975C1"/>
    <w:rsid w:val="00A97F5E"/>
    <w:rsid w:val="00AA0052"/>
    <w:rsid w:val="00AA0DF8"/>
    <w:rsid w:val="00AA3FD0"/>
    <w:rsid w:val="00AA45C1"/>
    <w:rsid w:val="00AA4CAE"/>
    <w:rsid w:val="00AB1B4B"/>
    <w:rsid w:val="00AB1C22"/>
    <w:rsid w:val="00AB6392"/>
    <w:rsid w:val="00AB6DF5"/>
    <w:rsid w:val="00AC2414"/>
    <w:rsid w:val="00AC2B67"/>
    <w:rsid w:val="00AC2D4C"/>
    <w:rsid w:val="00AC3318"/>
    <w:rsid w:val="00AC4493"/>
    <w:rsid w:val="00AC5EEC"/>
    <w:rsid w:val="00AC7AF6"/>
    <w:rsid w:val="00AD2408"/>
    <w:rsid w:val="00AD3C71"/>
    <w:rsid w:val="00AD5D76"/>
    <w:rsid w:val="00AD648B"/>
    <w:rsid w:val="00AE23F5"/>
    <w:rsid w:val="00AE60E9"/>
    <w:rsid w:val="00AE7D46"/>
    <w:rsid w:val="00AF0014"/>
    <w:rsid w:val="00AF3270"/>
    <w:rsid w:val="00AF3E56"/>
    <w:rsid w:val="00AF3F4D"/>
    <w:rsid w:val="00AF49AC"/>
    <w:rsid w:val="00AF608B"/>
    <w:rsid w:val="00AF62A8"/>
    <w:rsid w:val="00AF6EB2"/>
    <w:rsid w:val="00AF727A"/>
    <w:rsid w:val="00B005E2"/>
    <w:rsid w:val="00B0091C"/>
    <w:rsid w:val="00B03BDF"/>
    <w:rsid w:val="00B048FB"/>
    <w:rsid w:val="00B065F5"/>
    <w:rsid w:val="00B0705D"/>
    <w:rsid w:val="00B076D7"/>
    <w:rsid w:val="00B108AB"/>
    <w:rsid w:val="00B1160C"/>
    <w:rsid w:val="00B13927"/>
    <w:rsid w:val="00B13D37"/>
    <w:rsid w:val="00B151D0"/>
    <w:rsid w:val="00B173E5"/>
    <w:rsid w:val="00B229A8"/>
    <w:rsid w:val="00B236C3"/>
    <w:rsid w:val="00B24B62"/>
    <w:rsid w:val="00B25781"/>
    <w:rsid w:val="00B25AD3"/>
    <w:rsid w:val="00B30A7D"/>
    <w:rsid w:val="00B31DCB"/>
    <w:rsid w:val="00B31F4D"/>
    <w:rsid w:val="00B32443"/>
    <w:rsid w:val="00B367A4"/>
    <w:rsid w:val="00B36BCB"/>
    <w:rsid w:val="00B400B2"/>
    <w:rsid w:val="00B4500C"/>
    <w:rsid w:val="00B47528"/>
    <w:rsid w:val="00B50B3C"/>
    <w:rsid w:val="00B53335"/>
    <w:rsid w:val="00B54895"/>
    <w:rsid w:val="00B55DAD"/>
    <w:rsid w:val="00B56931"/>
    <w:rsid w:val="00B620A2"/>
    <w:rsid w:val="00B62FFC"/>
    <w:rsid w:val="00B657A9"/>
    <w:rsid w:val="00B67F83"/>
    <w:rsid w:val="00B745E2"/>
    <w:rsid w:val="00B74A1E"/>
    <w:rsid w:val="00B8011E"/>
    <w:rsid w:val="00B80CDA"/>
    <w:rsid w:val="00B81627"/>
    <w:rsid w:val="00B8222B"/>
    <w:rsid w:val="00B82D5D"/>
    <w:rsid w:val="00B84C9E"/>
    <w:rsid w:val="00B871DE"/>
    <w:rsid w:val="00B909EA"/>
    <w:rsid w:val="00B92BCE"/>
    <w:rsid w:val="00B92E36"/>
    <w:rsid w:val="00B93470"/>
    <w:rsid w:val="00B94612"/>
    <w:rsid w:val="00B94BF2"/>
    <w:rsid w:val="00B95955"/>
    <w:rsid w:val="00B95FE3"/>
    <w:rsid w:val="00B9674A"/>
    <w:rsid w:val="00BA0BFA"/>
    <w:rsid w:val="00BA1D57"/>
    <w:rsid w:val="00BA2FD1"/>
    <w:rsid w:val="00BA53B8"/>
    <w:rsid w:val="00BA6211"/>
    <w:rsid w:val="00BB29BE"/>
    <w:rsid w:val="00BB5AC4"/>
    <w:rsid w:val="00BB5C0E"/>
    <w:rsid w:val="00BB6E3E"/>
    <w:rsid w:val="00BC338B"/>
    <w:rsid w:val="00BC5563"/>
    <w:rsid w:val="00BD0B98"/>
    <w:rsid w:val="00BD4F26"/>
    <w:rsid w:val="00BD50B7"/>
    <w:rsid w:val="00BD757C"/>
    <w:rsid w:val="00BD75A3"/>
    <w:rsid w:val="00BE11EA"/>
    <w:rsid w:val="00BE509D"/>
    <w:rsid w:val="00BE61A2"/>
    <w:rsid w:val="00BF06A3"/>
    <w:rsid w:val="00BF07B9"/>
    <w:rsid w:val="00BF1006"/>
    <w:rsid w:val="00BF36D0"/>
    <w:rsid w:val="00BF4388"/>
    <w:rsid w:val="00BF4C4E"/>
    <w:rsid w:val="00BF5C10"/>
    <w:rsid w:val="00BF6897"/>
    <w:rsid w:val="00C00B43"/>
    <w:rsid w:val="00C00F6A"/>
    <w:rsid w:val="00C0396F"/>
    <w:rsid w:val="00C0537F"/>
    <w:rsid w:val="00C06B1E"/>
    <w:rsid w:val="00C07A05"/>
    <w:rsid w:val="00C106D3"/>
    <w:rsid w:val="00C11055"/>
    <w:rsid w:val="00C120CF"/>
    <w:rsid w:val="00C161FD"/>
    <w:rsid w:val="00C1666A"/>
    <w:rsid w:val="00C166DD"/>
    <w:rsid w:val="00C16B94"/>
    <w:rsid w:val="00C173CA"/>
    <w:rsid w:val="00C20803"/>
    <w:rsid w:val="00C227A4"/>
    <w:rsid w:val="00C24520"/>
    <w:rsid w:val="00C24658"/>
    <w:rsid w:val="00C25779"/>
    <w:rsid w:val="00C25A9A"/>
    <w:rsid w:val="00C27E68"/>
    <w:rsid w:val="00C30139"/>
    <w:rsid w:val="00C32132"/>
    <w:rsid w:val="00C35C5E"/>
    <w:rsid w:val="00C35CB5"/>
    <w:rsid w:val="00C3676F"/>
    <w:rsid w:val="00C40CF5"/>
    <w:rsid w:val="00C416A4"/>
    <w:rsid w:val="00C50A81"/>
    <w:rsid w:val="00C516DC"/>
    <w:rsid w:val="00C55A29"/>
    <w:rsid w:val="00C56AA8"/>
    <w:rsid w:val="00C56CF4"/>
    <w:rsid w:val="00C60277"/>
    <w:rsid w:val="00C60F2F"/>
    <w:rsid w:val="00C61299"/>
    <w:rsid w:val="00C65641"/>
    <w:rsid w:val="00C70BE6"/>
    <w:rsid w:val="00C72EEC"/>
    <w:rsid w:val="00C80E96"/>
    <w:rsid w:val="00C82343"/>
    <w:rsid w:val="00C84075"/>
    <w:rsid w:val="00C84190"/>
    <w:rsid w:val="00C8546F"/>
    <w:rsid w:val="00C86A04"/>
    <w:rsid w:val="00C86D71"/>
    <w:rsid w:val="00C92FBD"/>
    <w:rsid w:val="00C969F3"/>
    <w:rsid w:val="00CA3092"/>
    <w:rsid w:val="00CA5098"/>
    <w:rsid w:val="00CA5477"/>
    <w:rsid w:val="00CA561C"/>
    <w:rsid w:val="00CA6373"/>
    <w:rsid w:val="00CB418E"/>
    <w:rsid w:val="00CB4207"/>
    <w:rsid w:val="00CB5D9F"/>
    <w:rsid w:val="00CB6E2E"/>
    <w:rsid w:val="00CC13B5"/>
    <w:rsid w:val="00CC158B"/>
    <w:rsid w:val="00CC5315"/>
    <w:rsid w:val="00CC650A"/>
    <w:rsid w:val="00CD18DA"/>
    <w:rsid w:val="00CD2EF0"/>
    <w:rsid w:val="00CD3014"/>
    <w:rsid w:val="00CD5145"/>
    <w:rsid w:val="00CE06FD"/>
    <w:rsid w:val="00CE1863"/>
    <w:rsid w:val="00CE2383"/>
    <w:rsid w:val="00CE446C"/>
    <w:rsid w:val="00CE4753"/>
    <w:rsid w:val="00CF0FB3"/>
    <w:rsid w:val="00CF1099"/>
    <w:rsid w:val="00CF4986"/>
    <w:rsid w:val="00CF49F6"/>
    <w:rsid w:val="00CF4C45"/>
    <w:rsid w:val="00CF574B"/>
    <w:rsid w:val="00CF58E8"/>
    <w:rsid w:val="00CF5B37"/>
    <w:rsid w:val="00CF5BC5"/>
    <w:rsid w:val="00CF7FDD"/>
    <w:rsid w:val="00D01F0D"/>
    <w:rsid w:val="00D02BA8"/>
    <w:rsid w:val="00D03374"/>
    <w:rsid w:val="00D03A05"/>
    <w:rsid w:val="00D05096"/>
    <w:rsid w:val="00D05C9D"/>
    <w:rsid w:val="00D06795"/>
    <w:rsid w:val="00D1099D"/>
    <w:rsid w:val="00D109AA"/>
    <w:rsid w:val="00D111DB"/>
    <w:rsid w:val="00D116F4"/>
    <w:rsid w:val="00D11CA2"/>
    <w:rsid w:val="00D122B2"/>
    <w:rsid w:val="00D13085"/>
    <w:rsid w:val="00D148BC"/>
    <w:rsid w:val="00D15772"/>
    <w:rsid w:val="00D16F99"/>
    <w:rsid w:val="00D172C9"/>
    <w:rsid w:val="00D20CF9"/>
    <w:rsid w:val="00D21236"/>
    <w:rsid w:val="00D220FF"/>
    <w:rsid w:val="00D24ED7"/>
    <w:rsid w:val="00D277D6"/>
    <w:rsid w:val="00D3052C"/>
    <w:rsid w:val="00D30799"/>
    <w:rsid w:val="00D30BB9"/>
    <w:rsid w:val="00D314AE"/>
    <w:rsid w:val="00D32273"/>
    <w:rsid w:val="00D36A7B"/>
    <w:rsid w:val="00D36E82"/>
    <w:rsid w:val="00D37363"/>
    <w:rsid w:val="00D37C39"/>
    <w:rsid w:val="00D37D25"/>
    <w:rsid w:val="00D417C2"/>
    <w:rsid w:val="00D43D78"/>
    <w:rsid w:val="00D4492C"/>
    <w:rsid w:val="00D455EF"/>
    <w:rsid w:val="00D45C63"/>
    <w:rsid w:val="00D46B5B"/>
    <w:rsid w:val="00D51343"/>
    <w:rsid w:val="00D51A0E"/>
    <w:rsid w:val="00D51EB3"/>
    <w:rsid w:val="00D55B9B"/>
    <w:rsid w:val="00D57C03"/>
    <w:rsid w:val="00D613FF"/>
    <w:rsid w:val="00D61410"/>
    <w:rsid w:val="00D62814"/>
    <w:rsid w:val="00D62C67"/>
    <w:rsid w:val="00D65125"/>
    <w:rsid w:val="00D66F41"/>
    <w:rsid w:val="00D7158B"/>
    <w:rsid w:val="00D73282"/>
    <w:rsid w:val="00D83EF7"/>
    <w:rsid w:val="00D83F78"/>
    <w:rsid w:val="00D85891"/>
    <w:rsid w:val="00D90FB7"/>
    <w:rsid w:val="00D929AC"/>
    <w:rsid w:val="00D970B3"/>
    <w:rsid w:val="00D975E8"/>
    <w:rsid w:val="00D979CF"/>
    <w:rsid w:val="00DA0CA1"/>
    <w:rsid w:val="00DA28FB"/>
    <w:rsid w:val="00DA3184"/>
    <w:rsid w:val="00DA35B4"/>
    <w:rsid w:val="00DA3E69"/>
    <w:rsid w:val="00DA5035"/>
    <w:rsid w:val="00DA506D"/>
    <w:rsid w:val="00DA7072"/>
    <w:rsid w:val="00DB0395"/>
    <w:rsid w:val="00DB0C5E"/>
    <w:rsid w:val="00DB1A5E"/>
    <w:rsid w:val="00DB4755"/>
    <w:rsid w:val="00DB47A3"/>
    <w:rsid w:val="00DB5773"/>
    <w:rsid w:val="00DB6BAF"/>
    <w:rsid w:val="00DB6C58"/>
    <w:rsid w:val="00DB7159"/>
    <w:rsid w:val="00DB760C"/>
    <w:rsid w:val="00DC3290"/>
    <w:rsid w:val="00DC71B8"/>
    <w:rsid w:val="00DC7C05"/>
    <w:rsid w:val="00DD108C"/>
    <w:rsid w:val="00DD3549"/>
    <w:rsid w:val="00DD48CD"/>
    <w:rsid w:val="00DD5DA6"/>
    <w:rsid w:val="00DD6704"/>
    <w:rsid w:val="00DD7DB3"/>
    <w:rsid w:val="00DE065D"/>
    <w:rsid w:val="00DE1E93"/>
    <w:rsid w:val="00DE1E96"/>
    <w:rsid w:val="00DE274A"/>
    <w:rsid w:val="00DE362C"/>
    <w:rsid w:val="00DE4888"/>
    <w:rsid w:val="00DE7EEA"/>
    <w:rsid w:val="00DF0E4A"/>
    <w:rsid w:val="00DF1D44"/>
    <w:rsid w:val="00DF269B"/>
    <w:rsid w:val="00DF4C93"/>
    <w:rsid w:val="00DF53D8"/>
    <w:rsid w:val="00E00200"/>
    <w:rsid w:val="00E0214E"/>
    <w:rsid w:val="00E041C8"/>
    <w:rsid w:val="00E06A5D"/>
    <w:rsid w:val="00E109DA"/>
    <w:rsid w:val="00E123A2"/>
    <w:rsid w:val="00E16A81"/>
    <w:rsid w:val="00E225FC"/>
    <w:rsid w:val="00E227FB"/>
    <w:rsid w:val="00E23EF3"/>
    <w:rsid w:val="00E256E7"/>
    <w:rsid w:val="00E25C5B"/>
    <w:rsid w:val="00E25EA5"/>
    <w:rsid w:val="00E26274"/>
    <w:rsid w:val="00E26684"/>
    <w:rsid w:val="00E2791C"/>
    <w:rsid w:val="00E30677"/>
    <w:rsid w:val="00E30C59"/>
    <w:rsid w:val="00E3787C"/>
    <w:rsid w:val="00E40F07"/>
    <w:rsid w:val="00E4255F"/>
    <w:rsid w:val="00E4283E"/>
    <w:rsid w:val="00E42F87"/>
    <w:rsid w:val="00E46D29"/>
    <w:rsid w:val="00E47331"/>
    <w:rsid w:val="00E479A7"/>
    <w:rsid w:val="00E47A54"/>
    <w:rsid w:val="00E5337F"/>
    <w:rsid w:val="00E53582"/>
    <w:rsid w:val="00E55A87"/>
    <w:rsid w:val="00E55B09"/>
    <w:rsid w:val="00E565AD"/>
    <w:rsid w:val="00E623AD"/>
    <w:rsid w:val="00E65882"/>
    <w:rsid w:val="00E7059E"/>
    <w:rsid w:val="00E72569"/>
    <w:rsid w:val="00E72F91"/>
    <w:rsid w:val="00E73B31"/>
    <w:rsid w:val="00E77583"/>
    <w:rsid w:val="00E8037A"/>
    <w:rsid w:val="00E80F22"/>
    <w:rsid w:val="00E8350F"/>
    <w:rsid w:val="00E841E3"/>
    <w:rsid w:val="00E84CFA"/>
    <w:rsid w:val="00E86551"/>
    <w:rsid w:val="00E87B45"/>
    <w:rsid w:val="00E943E6"/>
    <w:rsid w:val="00E955F4"/>
    <w:rsid w:val="00E970DE"/>
    <w:rsid w:val="00EA0217"/>
    <w:rsid w:val="00EA10FD"/>
    <w:rsid w:val="00EA4B97"/>
    <w:rsid w:val="00EA4CA3"/>
    <w:rsid w:val="00EA678D"/>
    <w:rsid w:val="00EB362B"/>
    <w:rsid w:val="00EB3D31"/>
    <w:rsid w:val="00EB5343"/>
    <w:rsid w:val="00EC14B3"/>
    <w:rsid w:val="00EC1AEC"/>
    <w:rsid w:val="00EC1EA0"/>
    <w:rsid w:val="00EC38F2"/>
    <w:rsid w:val="00EC6D91"/>
    <w:rsid w:val="00EC74F4"/>
    <w:rsid w:val="00ED09A3"/>
    <w:rsid w:val="00ED19FF"/>
    <w:rsid w:val="00ED411A"/>
    <w:rsid w:val="00ED43E2"/>
    <w:rsid w:val="00ED74D1"/>
    <w:rsid w:val="00ED7C04"/>
    <w:rsid w:val="00ED7D45"/>
    <w:rsid w:val="00EE023F"/>
    <w:rsid w:val="00EE2CD7"/>
    <w:rsid w:val="00EE3681"/>
    <w:rsid w:val="00EE497E"/>
    <w:rsid w:val="00EF0F16"/>
    <w:rsid w:val="00EF19BE"/>
    <w:rsid w:val="00EF226B"/>
    <w:rsid w:val="00EF4EE6"/>
    <w:rsid w:val="00EF541B"/>
    <w:rsid w:val="00EF67AA"/>
    <w:rsid w:val="00EF7A18"/>
    <w:rsid w:val="00F03A03"/>
    <w:rsid w:val="00F10469"/>
    <w:rsid w:val="00F107C7"/>
    <w:rsid w:val="00F10908"/>
    <w:rsid w:val="00F11D7C"/>
    <w:rsid w:val="00F13E70"/>
    <w:rsid w:val="00F14F75"/>
    <w:rsid w:val="00F158FC"/>
    <w:rsid w:val="00F16C32"/>
    <w:rsid w:val="00F16EB2"/>
    <w:rsid w:val="00F17862"/>
    <w:rsid w:val="00F20DDF"/>
    <w:rsid w:val="00F2155B"/>
    <w:rsid w:val="00F22E0F"/>
    <w:rsid w:val="00F23905"/>
    <w:rsid w:val="00F2465E"/>
    <w:rsid w:val="00F34091"/>
    <w:rsid w:val="00F34C93"/>
    <w:rsid w:val="00F3536E"/>
    <w:rsid w:val="00F456FA"/>
    <w:rsid w:val="00F45C3E"/>
    <w:rsid w:val="00F47315"/>
    <w:rsid w:val="00F5034D"/>
    <w:rsid w:val="00F53755"/>
    <w:rsid w:val="00F552B5"/>
    <w:rsid w:val="00F55C57"/>
    <w:rsid w:val="00F55DB6"/>
    <w:rsid w:val="00F5604A"/>
    <w:rsid w:val="00F56AB7"/>
    <w:rsid w:val="00F56CF1"/>
    <w:rsid w:val="00F63687"/>
    <w:rsid w:val="00F651DD"/>
    <w:rsid w:val="00F65EF2"/>
    <w:rsid w:val="00F6645A"/>
    <w:rsid w:val="00F66C4C"/>
    <w:rsid w:val="00F70135"/>
    <w:rsid w:val="00F70481"/>
    <w:rsid w:val="00F730D3"/>
    <w:rsid w:val="00F73EA7"/>
    <w:rsid w:val="00F75A7E"/>
    <w:rsid w:val="00F76855"/>
    <w:rsid w:val="00F77462"/>
    <w:rsid w:val="00F80545"/>
    <w:rsid w:val="00F81878"/>
    <w:rsid w:val="00F83158"/>
    <w:rsid w:val="00F8443F"/>
    <w:rsid w:val="00F84A0E"/>
    <w:rsid w:val="00F858F5"/>
    <w:rsid w:val="00F86413"/>
    <w:rsid w:val="00F903C9"/>
    <w:rsid w:val="00F91AA4"/>
    <w:rsid w:val="00FA26B8"/>
    <w:rsid w:val="00FA44D6"/>
    <w:rsid w:val="00FB107D"/>
    <w:rsid w:val="00FB1B9B"/>
    <w:rsid w:val="00FB1D79"/>
    <w:rsid w:val="00FB20B7"/>
    <w:rsid w:val="00FB2D31"/>
    <w:rsid w:val="00FB313E"/>
    <w:rsid w:val="00FB365C"/>
    <w:rsid w:val="00FB419C"/>
    <w:rsid w:val="00FB4204"/>
    <w:rsid w:val="00FB5671"/>
    <w:rsid w:val="00FB6223"/>
    <w:rsid w:val="00FC1991"/>
    <w:rsid w:val="00FC2127"/>
    <w:rsid w:val="00FC6585"/>
    <w:rsid w:val="00FC71EA"/>
    <w:rsid w:val="00FD0716"/>
    <w:rsid w:val="00FD543A"/>
    <w:rsid w:val="00FD59EF"/>
    <w:rsid w:val="00FD6DC2"/>
    <w:rsid w:val="00FD731A"/>
    <w:rsid w:val="00FE051E"/>
    <w:rsid w:val="00FE1204"/>
    <w:rsid w:val="00FE1794"/>
    <w:rsid w:val="00FE4190"/>
    <w:rsid w:val="00FE5B7B"/>
    <w:rsid w:val="00FE708E"/>
    <w:rsid w:val="00FE7B1E"/>
    <w:rsid w:val="00FF133E"/>
    <w:rsid w:val="00FF2460"/>
    <w:rsid w:val="00FF2746"/>
    <w:rsid w:val="00FF5A2E"/>
    <w:rsid w:val="00FF6BDE"/>
    <w:rsid w:val="00FF7B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29FCA19"/>
  <w15:docId w15:val="{2F15A058-AFAF-4ABF-8CA0-ABB36A90C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semiHidden="1" w:unhideWhenUsed="1" w:qFormat="1"/>
    <w:lsdException w:name="heading 5" w:locked="1" w:qFormat="1"/>
    <w:lsdException w:name="heading 6" w:locked="1" w:semiHidden="1" w:unhideWhenUsed="1" w:qFormat="1"/>
    <w:lsdException w:name="heading 7" w:locked="1" w:semiHidden="1" w:uiPriority="0"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lock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lock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FE0"/>
    <w:rPr>
      <w:rFonts w:ascii="Times New Roman" w:eastAsia="Times New Roman" w:hAnsi="Times New Roman"/>
      <w:sz w:val="20"/>
      <w:szCs w:val="20"/>
    </w:rPr>
  </w:style>
  <w:style w:type="paragraph" w:styleId="Ttulo1">
    <w:name w:val="heading 1"/>
    <w:basedOn w:val="Normal"/>
    <w:next w:val="Normal"/>
    <w:link w:val="Ttulo1Char"/>
    <w:uiPriority w:val="99"/>
    <w:qFormat/>
    <w:rsid w:val="0069304C"/>
    <w:pPr>
      <w:spacing w:before="120" w:after="120"/>
      <w:jc w:val="center"/>
      <w:outlineLvl w:val="0"/>
    </w:pPr>
    <w:rPr>
      <w:rFonts w:ascii="Arial Nova Cond" w:hAnsi="Arial Nova Cond"/>
      <w:b/>
      <w:bCs/>
      <w:sz w:val="32"/>
      <w:szCs w:val="32"/>
    </w:rPr>
  </w:style>
  <w:style w:type="paragraph" w:styleId="Ttulo2">
    <w:name w:val="heading 2"/>
    <w:basedOn w:val="Ttulo1"/>
    <w:next w:val="Normal"/>
    <w:link w:val="Ttulo2Char"/>
    <w:uiPriority w:val="99"/>
    <w:qFormat/>
    <w:rsid w:val="0069304C"/>
    <w:pPr>
      <w:jc w:val="both"/>
      <w:outlineLvl w:val="1"/>
    </w:pPr>
  </w:style>
  <w:style w:type="paragraph" w:styleId="Ttulo3">
    <w:name w:val="heading 3"/>
    <w:basedOn w:val="Normal"/>
    <w:next w:val="Normal"/>
    <w:link w:val="Ttulo3Char"/>
    <w:uiPriority w:val="99"/>
    <w:qFormat/>
    <w:rsid w:val="0069304C"/>
    <w:pPr>
      <w:spacing w:after="120"/>
      <w:jc w:val="both"/>
      <w:outlineLvl w:val="2"/>
    </w:pPr>
    <w:rPr>
      <w:rFonts w:ascii="Arial Nova Cond" w:hAnsi="Arial Nova Cond"/>
      <w:b/>
      <w:sz w:val="28"/>
      <w:szCs w:val="28"/>
    </w:rPr>
  </w:style>
  <w:style w:type="paragraph" w:styleId="Ttulo4">
    <w:name w:val="heading 4"/>
    <w:basedOn w:val="Ttulo3"/>
    <w:next w:val="Normal"/>
    <w:link w:val="Ttulo4Char"/>
    <w:uiPriority w:val="99"/>
    <w:unhideWhenUsed/>
    <w:qFormat/>
    <w:locked/>
    <w:rsid w:val="00475536"/>
    <w:pPr>
      <w:jc w:val="right"/>
      <w:outlineLvl w:val="3"/>
    </w:pPr>
  </w:style>
  <w:style w:type="paragraph" w:styleId="Ttulo5">
    <w:name w:val="heading 5"/>
    <w:basedOn w:val="Normal"/>
    <w:next w:val="Normal"/>
    <w:link w:val="Ttulo5Char"/>
    <w:uiPriority w:val="99"/>
    <w:qFormat/>
    <w:rsid w:val="007C10D9"/>
    <w:pPr>
      <w:spacing w:before="240" w:after="60"/>
      <w:outlineLvl w:val="4"/>
    </w:pPr>
    <w:rPr>
      <w:b/>
      <w:bCs/>
      <w:i/>
      <w:iCs/>
      <w:sz w:val="26"/>
      <w:szCs w:val="26"/>
    </w:rPr>
  </w:style>
  <w:style w:type="paragraph" w:styleId="Ttulo6">
    <w:name w:val="heading 6"/>
    <w:basedOn w:val="Normal"/>
    <w:next w:val="Normal"/>
    <w:link w:val="Ttulo6Char"/>
    <w:uiPriority w:val="99"/>
    <w:unhideWhenUsed/>
    <w:qFormat/>
    <w:locked/>
    <w:rsid w:val="009F424C"/>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qFormat/>
    <w:locked/>
    <w:rsid w:val="00711287"/>
    <w:pPr>
      <w:spacing w:before="240" w:after="60"/>
      <w:outlineLvl w:val="6"/>
    </w:pPr>
    <w:rPr>
      <w:sz w:val="24"/>
      <w:szCs w:val="24"/>
    </w:rPr>
  </w:style>
  <w:style w:type="paragraph" w:styleId="Ttulo8">
    <w:name w:val="heading 8"/>
    <w:basedOn w:val="Normal"/>
    <w:next w:val="Normal"/>
    <w:link w:val="Ttulo8Char"/>
    <w:uiPriority w:val="99"/>
    <w:unhideWhenUsed/>
    <w:qFormat/>
    <w:locked/>
    <w:rsid w:val="002B371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9"/>
    <w:unhideWhenUsed/>
    <w:qFormat/>
    <w:locked/>
    <w:rsid w:val="009F424C"/>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69304C"/>
    <w:rPr>
      <w:rFonts w:ascii="Arial Nova Cond" w:eastAsia="Times New Roman" w:hAnsi="Arial Nova Cond"/>
      <w:b/>
      <w:bCs/>
      <w:sz w:val="32"/>
      <w:szCs w:val="32"/>
    </w:rPr>
  </w:style>
  <w:style w:type="character" w:customStyle="1" w:styleId="Ttulo2Char">
    <w:name w:val="Título 2 Char"/>
    <w:basedOn w:val="Fontepargpadro"/>
    <w:link w:val="Ttulo2"/>
    <w:uiPriority w:val="99"/>
    <w:locked/>
    <w:rsid w:val="0069304C"/>
    <w:rPr>
      <w:rFonts w:ascii="Arial Nova Cond" w:eastAsia="Times New Roman" w:hAnsi="Arial Nova Cond"/>
      <w:b/>
      <w:bCs/>
      <w:sz w:val="32"/>
      <w:szCs w:val="32"/>
    </w:rPr>
  </w:style>
  <w:style w:type="character" w:customStyle="1" w:styleId="Ttulo3Char">
    <w:name w:val="Título 3 Char"/>
    <w:basedOn w:val="Fontepargpadro"/>
    <w:link w:val="Ttulo3"/>
    <w:uiPriority w:val="99"/>
    <w:locked/>
    <w:rsid w:val="0069304C"/>
    <w:rPr>
      <w:rFonts w:ascii="Arial Nova Cond" w:eastAsia="Times New Roman" w:hAnsi="Arial Nova Cond"/>
      <w:b/>
      <w:sz w:val="28"/>
      <w:szCs w:val="28"/>
    </w:rPr>
  </w:style>
  <w:style w:type="character" w:customStyle="1" w:styleId="Ttulo5Char">
    <w:name w:val="Título 5 Char"/>
    <w:basedOn w:val="Fontepargpadro"/>
    <w:link w:val="Ttulo5"/>
    <w:uiPriority w:val="99"/>
    <w:locked/>
    <w:rPr>
      <w:rFonts w:ascii="Calibri" w:hAnsi="Calibri" w:cs="Times New Roman"/>
      <w:b/>
      <w:bCs/>
      <w:i/>
      <w:iCs/>
      <w:sz w:val="26"/>
      <w:szCs w:val="26"/>
    </w:rPr>
  </w:style>
  <w:style w:type="paragraph" w:styleId="Ttulo">
    <w:name w:val="Title"/>
    <w:basedOn w:val="Normal"/>
    <w:link w:val="TtuloChar"/>
    <w:uiPriority w:val="99"/>
    <w:qFormat/>
    <w:rsid w:val="00C61299"/>
    <w:pPr>
      <w:jc w:val="center"/>
    </w:pPr>
    <w:rPr>
      <w:b/>
      <w:sz w:val="24"/>
    </w:rPr>
  </w:style>
  <w:style w:type="character" w:customStyle="1" w:styleId="TtuloChar">
    <w:name w:val="Título Char"/>
    <w:basedOn w:val="Fontepargpadro"/>
    <w:link w:val="Ttulo"/>
    <w:uiPriority w:val="99"/>
    <w:locked/>
    <w:rsid w:val="00C61299"/>
    <w:rPr>
      <w:rFonts w:ascii="Times New Roman" w:hAnsi="Times New Roman" w:cs="Times New Roman"/>
      <w:b/>
      <w:sz w:val="20"/>
      <w:szCs w:val="20"/>
      <w:lang w:eastAsia="pt-BR"/>
    </w:rPr>
  </w:style>
  <w:style w:type="paragraph" w:styleId="Subttulo">
    <w:name w:val="Subtitle"/>
    <w:basedOn w:val="Normal"/>
    <w:link w:val="SubttuloChar"/>
    <w:uiPriority w:val="99"/>
    <w:qFormat/>
    <w:rsid w:val="00C61299"/>
    <w:pPr>
      <w:jc w:val="both"/>
    </w:pPr>
    <w:rPr>
      <w:b/>
      <w:sz w:val="24"/>
    </w:rPr>
  </w:style>
  <w:style w:type="character" w:customStyle="1" w:styleId="SubttuloChar">
    <w:name w:val="Subtítulo Char"/>
    <w:basedOn w:val="Fontepargpadro"/>
    <w:link w:val="Subttulo"/>
    <w:uiPriority w:val="99"/>
    <w:locked/>
    <w:rsid w:val="00C61299"/>
    <w:rPr>
      <w:rFonts w:ascii="Times New Roman" w:hAnsi="Times New Roman" w:cs="Times New Roman"/>
      <w:b/>
      <w:sz w:val="20"/>
      <w:szCs w:val="20"/>
      <w:lang w:eastAsia="pt-BR"/>
    </w:rPr>
  </w:style>
  <w:style w:type="paragraph" w:styleId="Corpodetexto">
    <w:name w:val="Body Text"/>
    <w:basedOn w:val="Normal"/>
    <w:link w:val="CorpodetextoChar"/>
    <w:uiPriority w:val="99"/>
    <w:rsid w:val="00C61299"/>
    <w:pPr>
      <w:jc w:val="both"/>
    </w:pPr>
    <w:rPr>
      <w:rFonts w:ascii="Courier New" w:hAnsi="Courier New"/>
      <w:color w:val="000000"/>
    </w:rPr>
  </w:style>
  <w:style w:type="character" w:customStyle="1" w:styleId="CorpodetextoChar">
    <w:name w:val="Corpo de texto Char"/>
    <w:basedOn w:val="Fontepargpadro"/>
    <w:link w:val="Corpodetexto"/>
    <w:uiPriority w:val="99"/>
    <w:locked/>
    <w:rsid w:val="00C61299"/>
    <w:rPr>
      <w:rFonts w:ascii="Courier New" w:hAnsi="Courier New" w:cs="Times New Roman"/>
      <w:color w:val="000000"/>
      <w:sz w:val="20"/>
      <w:szCs w:val="20"/>
      <w:lang w:eastAsia="pt-BR"/>
    </w:rPr>
  </w:style>
  <w:style w:type="paragraph" w:styleId="Cabealho">
    <w:name w:val="header"/>
    <w:basedOn w:val="Normal"/>
    <w:link w:val="CabealhoChar"/>
    <w:uiPriority w:val="99"/>
    <w:rsid w:val="00C61299"/>
    <w:pPr>
      <w:tabs>
        <w:tab w:val="center" w:pos="4419"/>
        <w:tab w:val="right" w:pos="8838"/>
      </w:tabs>
    </w:pPr>
  </w:style>
  <w:style w:type="character" w:customStyle="1" w:styleId="CabealhoChar">
    <w:name w:val="Cabeçalho Char"/>
    <w:basedOn w:val="Fontepargpadro"/>
    <w:link w:val="Cabealho"/>
    <w:uiPriority w:val="99"/>
    <w:locked/>
    <w:rsid w:val="00C61299"/>
    <w:rPr>
      <w:rFonts w:ascii="Times New Roman" w:hAnsi="Times New Roman" w:cs="Times New Roman"/>
      <w:sz w:val="20"/>
      <w:szCs w:val="20"/>
      <w:lang w:eastAsia="pt-BR"/>
    </w:rPr>
  </w:style>
  <w:style w:type="paragraph" w:customStyle="1" w:styleId="centralizaopetio">
    <w:name w:val="centralização petição"/>
    <w:uiPriority w:val="99"/>
    <w:rsid w:val="00C61299"/>
    <w:pPr>
      <w:widowControl w:val="0"/>
      <w:spacing w:before="240" w:after="480" w:line="-240" w:lineRule="auto"/>
      <w:jc w:val="center"/>
    </w:pPr>
    <w:rPr>
      <w:rFonts w:ascii="CG Times" w:eastAsia="Times New Roman" w:hAnsi="CG Times"/>
      <w:sz w:val="24"/>
      <w:szCs w:val="20"/>
    </w:rPr>
  </w:style>
  <w:style w:type="paragraph" w:styleId="Textodenotaderodap">
    <w:name w:val="footnote text"/>
    <w:basedOn w:val="Normal"/>
    <w:link w:val="TextodenotaderodapChar"/>
    <w:uiPriority w:val="99"/>
    <w:rsid w:val="00C61299"/>
  </w:style>
  <w:style w:type="character" w:customStyle="1" w:styleId="TextodenotaderodapChar">
    <w:name w:val="Texto de nota de rodapé Char"/>
    <w:basedOn w:val="Fontepargpadro"/>
    <w:link w:val="Textodenotaderodap"/>
    <w:uiPriority w:val="99"/>
    <w:locked/>
    <w:rsid w:val="00C61299"/>
    <w:rPr>
      <w:rFonts w:ascii="Times New Roman" w:hAnsi="Times New Roman" w:cs="Times New Roman"/>
      <w:sz w:val="20"/>
      <w:szCs w:val="20"/>
      <w:lang w:eastAsia="pt-BR"/>
    </w:rPr>
  </w:style>
  <w:style w:type="paragraph" w:customStyle="1" w:styleId="Blockquote">
    <w:name w:val="Blockquote"/>
    <w:basedOn w:val="Normal"/>
    <w:uiPriority w:val="99"/>
    <w:rsid w:val="007C10D9"/>
    <w:pPr>
      <w:spacing w:before="100" w:after="100"/>
      <w:ind w:left="360" w:right="360"/>
    </w:pPr>
    <w:rPr>
      <w:sz w:val="24"/>
    </w:rPr>
  </w:style>
  <w:style w:type="character" w:styleId="Forte">
    <w:name w:val="Strong"/>
    <w:basedOn w:val="Fontepargpadro"/>
    <w:uiPriority w:val="22"/>
    <w:qFormat/>
    <w:rsid w:val="007C10D9"/>
    <w:rPr>
      <w:rFonts w:cs="Times New Roman"/>
      <w:b/>
    </w:rPr>
  </w:style>
  <w:style w:type="paragraph" w:customStyle="1" w:styleId="cabealhopetio">
    <w:name w:val="cabeçalho petição"/>
    <w:uiPriority w:val="99"/>
    <w:rsid w:val="007C10D9"/>
    <w:pPr>
      <w:widowControl w:val="0"/>
      <w:overflowPunct w:val="0"/>
      <w:autoSpaceDE w:val="0"/>
      <w:autoSpaceDN w:val="0"/>
      <w:adjustRightInd w:val="0"/>
      <w:spacing w:after="720" w:line="-240" w:lineRule="auto"/>
      <w:jc w:val="both"/>
      <w:textAlignment w:val="baseline"/>
    </w:pPr>
    <w:rPr>
      <w:rFonts w:ascii="CG Times" w:eastAsia="Times New Roman" w:hAnsi="CG Times"/>
      <w:sz w:val="24"/>
      <w:szCs w:val="20"/>
    </w:rPr>
  </w:style>
  <w:style w:type="paragraph" w:styleId="Recuodecorpodetexto">
    <w:name w:val="Body Text Indent"/>
    <w:basedOn w:val="Normal"/>
    <w:link w:val="RecuodecorpodetextoChar"/>
    <w:uiPriority w:val="99"/>
    <w:rsid w:val="007C10D9"/>
    <w:pPr>
      <w:spacing w:after="120"/>
      <w:ind w:left="283"/>
    </w:pPr>
  </w:style>
  <w:style w:type="character" w:customStyle="1" w:styleId="RecuodecorpodetextoChar">
    <w:name w:val="Recuo de corpo de texto Char"/>
    <w:basedOn w:val="Fontepargpadro"/>
    <w:link w:val="Recuodecorpodetexto"/>
    <w:uiPriority w:val="99"/>
    <w:locked/>
    <w:rPr>
      <w:rFonts w:ascii="Times New Roman" w:hAnsi="Times New Roman" w:cs="Times New Roman"/>
      <w:sz w:val="20"/>
      <w:szCs w:val="20"/>
    </w:rPr>
  </w:style>
  <w:style w:type="paragraph" w:styleId="Corpodetexto3">
    <w:name w:val="Body Text 3"/>
    <w:basedOn w:val="Normal"/>
    <w:link w:val="Corpodetexto3Char"/>
    <w:uiPriority w:val="99"/>
    <w:rsid w:val="007C10D9"/>
    <w:pPr>
      <w:spacing w:after="120"/>
    </w:pPr>
    <w:rPr>
      <w:sz w:val="16"/>
      <w:szCs w:val="16"/>
    </w:rPr>
  </w:style>
  <w:style w:type="character" w:customStyle="1" w:styleId="Corpodetexto3Char">
    <w:name w:val="Corpo de texto 3 Char"/>
    <w:basedOn w:val="Fontepargpadro"/>
    <w:link w:val="Corpodetexto3"/>
    <w:uiPriority w:val="99"/>
    <w:locked/>
    <w:rPr>
      <w:rFonts w:ascii="Times New Roman" w:hAnsi="Times New Roman" w:cs="Times New Roman"/>
      <w:sz w:val="16"/>
      <w:szCs w:val="16"/>
    </w:rPr>
  </w:style>
  <w:style w:type="paragraph" w:styleId="Rodap">
    <w:name w:val="footer"/>
    <w:basedOn w:val="Normal"/>
    <w:link w:val="RodapChar"/>
    <w:rsid w:val="007C10D9"/>
    <w:pPr>
      <w:tabs>
        <w:tab w:val="center" w:pos="4252"/>
        <w:tab w:val="right" w:pos="8504"/>
      </w:tabs>
    </w:pPr>
  </w:style>
  <w:style w:type="character" w:customStyle="1" w:styleId="RodapChar">
    <w:name w:val="Rodapé Char"/>
    <w:basedOn w:val="Fontepargpadro"/>
    <w:link w:val="Rodap"/>
    <w:locked/>
    <w:rPr>
      <w:rFonts w:ascii="Times New Roman" w:hAnsi="Times New Roman" w:cs="Times New Roman"/>
      <w:sz w:val="20"/>
      <w:szCs w:val="20"/>
    </w:rPr>
  </w:style>
  <w:style w:type="paragraph" w:styleId="NormalWeb">
    <w:name w:val="Normal (Web)"/>
    <w:basedOn w:val="Normal"/>
    <w:link w:val="NormalWebChar"/>
    <w:uiPriority w:val="99"/>
    <w:rsid w:val="00FD6DC2"/>
    <w:pPr>
      <w:spacing w:before="100" w:after="100"/>
    </w:pPr>
    <w:rPr>
      <w:sz w:val="24"/>
    </w:rPr>
  </w:style>
  <w:style w:type="paragraph" w:customStyle="1" w:styleId="PargrafodaLista1">
    <w:name w:val="Parágrafo da Lista1"/>
    <w:basedOn w:val="Normal"/>
    <w:uiPriority w:val="99"/>
    <w:rsid w:val="00FD6DC2"/>
    <w:pPr>
      <w:ind w:left="720"/>
      <w:contextualSpacing/>
    </w:pPr>
  </w:style>
  <w:style w:type="paragraph" w:customStyle="1" w:styleId="ecmsonormal">
    <w:name w:val="ec_msonormal"/>
    <w:basedOn w:val="Normal"/>
    <w:uiPriority w:val="99"/>
    <w:rsid w:val="00FD6DC2"/>
    <w:pPr>
      <w:spacing w:after="324"/>
    </w:pPr>
    <w:rPr>
      <w:sz w:val="24"/>
      <w:szCs w:val="24"/>
    </w:rPr>
  </w:style>
  <w:style w:type="paragraph" w:customStyle="1" w:styleId="ecmsobodytext">
    <w:name w:val="ec_msobodytext"/>
    <w:basedOn w:val="Normal"/>
    <w:uiPriority w:val="99"/>
    <w:rsid w:val="00FD6DC2"/>
    <w:pPr>
      <w:spacing w:after="324"/>
    </w:pPr>
    <w:rPr>
      <w:sz w:val="24"/>
      <w:szCs w:val="24"/>
    </w:rPr>
  </w:style>
  <w:style w:type="character" w:customStyle="1" w:styleId="ecapple-style-span">
    <w:name w:val="ec_apple-style-span"/>
    <w:basedOn w:val="Fontepargpadro"/>
    <w:uiPriority w:val="99"/>
    <w:rsid w:val="00FD6DC2"/>
    <w:rPr>
      <w:rFonts w:cs="Times New Roman"/>
    </w:rPr>
  </w:style>
  <w:style w:type="paragraph" w:customStyle="1" w:styleId="p-integra">
    <w:name w:val="p-integra"/>
    <w:basedOn w:val="Normal"/>
    <w:uiPriority w:val="99"/>
    <w:rsid w:val="00546616"/>
    <w:pPr>
      <w:spacing w:before="100" w:beforeAutospacing="1" w:after="100" w:afterAutospacing="1"/>
    </w:pPr>
    <w:rPr>
      <w:sz w:val="24"/>
      <w:szCs w:val="24"/>
    </w:rPr>
  </w:style>
  <w:style w:type="character" w:customStyle="1" w:styleId="CharChar8">
    <w:name w:val="Char Char8"/>
    <w:basedOn w:val="Fontepargpadro"/>
    <w:uiPriority w:val="99"/>
    <w:rsid w:val="00FF133E"/>
    <w:rPr>
      <w:rFonts w:cs="Times New Roman"/>
      <w:b/>
      <w:sz w:val="24"/>
      <w:lang w:val="pt-BR" w:eastAsia="pt-BR" w:bidi="ar-SA"/>
    </w:rPr>
  </w:style>
  <w:style w:type="paragraph" w:styleId="Recuodecorpodetexto2">
    <w:name w:val="Body Text Indent 2"/>
    <w:basedOn w:val="Normal"/>
    <w:link w:val="Recuodecorpodetexto2Char"/>
    <w:uiPriority w:val="99"/>
    <w:rsid w:val="000F7FA0"/>
    <w:pPr>
      <w:spacing w:after="120" w:line="480" w:lineRule="auto"/>
      <w:ind w:left="283"/>
    </w:pPr>
  </w:style>
  <w:style w:type="character" w:customStyle="1" w:styleId="Recuodecorpodetexto2Char">
    <w:name w:val="Recuo de corpo de texto 2 Char"/>
    <w:basedOn w:val="Fontepargpadro"/>
    <w:link w:val="Recuodecorpodetexto2"/>
    <w:uiPriority w:val="99"/>
    <w:locked/>
    <w:rPr>
      <w:rFonts w:ascii="Times New Roman" w:hAnsi="Times New Roman" w:cs="Times New Roman"/>
      <w:sz w:val="20"/>
      <w:szCs w:val="20"/>
    </w:rPr>
  </w:style>
  <w:style w:type="character" w:styleId="Hyperlink">
    <w:name w:val="Hyperlink"/>
    <w:basedOn w:val="Fontepargpadro"/>
    <w:uiPriority w:val="99"/>
    <w:rsid w:val="00F6645A"/>
    <w:rPr>
      <w:rFonts w:cs="Times New Roman"/>
      <w:color w:val="0000FF"/>
      <w:u w:val="single"/>
    </w:rPr>
  </w:style>
  <w:style w:type="character" w:styleId="Nmerodepgina">
    <w:name w:val="page number"/>
    <w:basedOn w:val="Fontepargpadro"/>
    <w:uiPriority w:val="99"/>
    <w:rsid w:val="00A66390"/>
    <w:rPr>
      <w:rFonts w:cs="Times New Roman"/>
    </w:rPr>
  </w:style>
  <w:style w:type="paragraph" w:styleId="Pr-formataoHTML">
    <w:name w:val="HTML Preformatted"/>
    <w:basedOn w:val="Normal"/>
    <w:link w:val="Pr-formataoHTMLChar"/>
    <w:uiPriority w:val="99"/>
    <w:rsid w:val="00962F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aoHTMLChar">
    <w:name w:val="Pré-formatação HTML Char"/>
    <w:basedOn w:val="Fontepargpadro"/>
    <w:link w:val="Pr-formataoHTML"/>
    <w:uiPriority w:val="99"/>
    <w:locked/>
    <w:rPr>
      <w:rFonts w:ascii="Courier New" w:hAnsi="Courier New" w:cs="Courier New"/>
      <w:sz w:val="20"/>
      <w:szCs w:val="20"/>
    </w:rPr>
  </w:style>
  <w:style w:type="paragraph" w:styleId="Textodebalo">
    <w:name w:val="Balloon Text"/>
    <w:basedOn w:val="Normal"/>
    <w:link w:val="TextodebaloChar"/>
    <w:uiPriority w:val="99"/>
    <w:rsid w:val="00CC5315"/>
    <w:rPr>
      <w:rFonts w:ascii="Tahoma" w:hAnsi="Tahoma" w:cs="Tahoma"/>
      <w:sz w:val="16"/>
      <w:szCs w:val="16"/>
    </w:rPr>
  </w:style>
  <w:style w:type="character" w:customStyle="1" w:styleId="TextodebaloChar">
    <w:name w:val="Texto de balão Char"/>
    <w:basedOn w:val="Fontepargpadro"/>
    <w:link w:val="Textodebalo"/>
    <w:uiPriority w:val="99"/>
    <w:semiHidden/>
    <w:locked/>
    <w:rPr>
      <w:rFonts w:ascii="Times New Roman" w:hAnsi="Times New Roman" w:cs="Times New Roman"/>
      <w:sz w:val="2"/>
    </w:rPr>
  </w:style>
  <w:style w:type="character" w:styleId="Refdenotaderodap">
    <w:name w:val="footnote reference"/>
    <w:basedOn w:val="Fontepargpadro"/>
    <w:uiPriority w:val="99"/>
    <w:rsid w:val="003913E7"/>
    <w:rPr>
      <w:rFonts w:cs="Times New Roman"/>
      <w:vertAlign w:val="superscript"/>
    </w:rPr>
  </w:style>
  <w:style w:type="character" w:customStyle="1" w:styleId="CharChar2">
    <w:name w:val="Char Char2"/>
    <w:basedOn w:val="Fontepargpadro"/>
    <w:uiPriority w:val="99"/>
    <w:rsid w:val="008B2EB5"/>
    <w:rPr>
      <w:rFonts w:cs="Times New Roman"/>
      <w:b/>
      <w:sz w:val="24"/>
      <w:lang w:val="pt-BR" w:eastAsia="pt-BR" w:bidi="ar-SA"/>
    </w:rPr>
  </w:style>
  <w:style w:type="character" w:customStyle="1" w:styleId="CharChar4">
    <w:name w:val="Char Char4"/>
    <w:uiPriority w:val="99"/>
    <w:rsid w:val="00324CF3"/>
    <w:rPr>
      <w:rFonts w:ascii="Times New Roman" w:eastAsia="Times New Roman" w:hAnsi="Times New Roman"/>
      <w:b/>
      <w:sz w:val="20"/>
      <w:lang w:eastAsia="pt-BR"/>
    </w:rPr>
  </w:style>
  <w:style w:type="paragraph" w:customStyle="1" w:styleId="Default">
    <w:name w:val="Default"/>
    <w:rsid w:val="00324CF3"/>
    <w:pPr>
      <w:autoSpaceDE w:val="0"/>
      <w:autoSpaceDN w:val="0"/>
      <w:adjustRightInd w:val="0"/>
    </w:pPr>
    <w:rPr>
      <w:rFonts w:ascii="Arial" w:eastAsia="Times New Roman" w:hAnsi="Arial" w:cs="Arial"/>
      <w:color w:val="000000"/>
      <w:sz w:val="24"/>
      <w:szCs w:val="24"/>
    </w:rPr>
  </w:style>
  <w:style w:type="paragraph" w:styleId="PargrafodaLista">
    <w:name w:val="List Paragraph"/>
    <w:basedOn w:val="Normal"/>
    <w:uiPriority w:val="34"/>
    <w:qFormat/>
    <w:rsid w:val="007C5C09"/>
    <w:pPr>
      <w:ind w:left="720"/>
      <w:contextualSpacing/>
    </w:pPr>
  </w:style>
  <w:style w:type="paragraph" w:styleId="TextosemFormatao">
    <w:name w:val="Plain Text"/>
    <w:basedOn w:val="Normal"/>
    <w:link w:val="TextosemFormataoChar"/>
    <w:uiPriority w:val="99"/>
    <w:unhideWhenUsed/>
    <w:rsid w:val="0012740B"/>
    <w:rPr>
      <w:rFonts w:ascii="Calibri" w:eastAsiaTheme="minorHAnsi" w:hAnsi="Calibri" w:cstheme="minorBidi"/>
      <w:sz w:val="22"/>
      <w:szCs w:val="21"/>
      <w:lang w:eastAsia="en-US"/>
    </w:rPr>
  </w:style>
  <w:style w:type="character" w:customStyle="1" w:styleId="TextosemFormataoChar">
    <w:name w:val="Texto sem Formatação Char"/>
    <w:basedOn w:val="Fontepargpadro"/>
    <w:link w:val="TextosemFormatao"/>
    <w:uiPriority w:val="99"/>
    <w:rsid w:val="0012740B"/>
    <w:rPr>
      <w:rFonts w:eastAsiaTheme="minorHAnsi" w:cstheme="minorBidi"/>
      <w:szCs w:val="21"/>
      <w:lang w:eastAsia="en-US"/>
    </w:rPr>
  </w:style>
  <w:style w:type="character" w:customStyle="1" w:styleId="apple-converted-space">
    <w:name w:val="apple-converted-space"/>
    <w:basedOn w:val="Fontepargpadro"/>
    <w:rsid w:val="005C54A9"/>
  </w:style>
  <w:style w:type="character" w:customStyle="1" w:styleId="Ttulo4Char">
    <w:name w:val="Título 4 Char"/>
    <w:basedOn w:val="Fontepargpadro"/>
    <w:link w:val="Ttulo4"/>
    <w:uiPriority w:val="99"/>
    <w:rsid w:val="00475536"/>
    <w:rPr>
      <w:rFonts w:ascii="Arial Nova Cond" w:eastAsia="Times New Roman" w:hAnsi="Arial Nova Cond"/>
      <w:b/>
      <w:sz w:val="28"/>
      <w:szCs w:val="28"/>
    </w:rPr>
  </w:style>
  <w:style w:type="character" w:customStyle="1" w:styleId="Ttulo6Char">
    <w:name w:val="Título 6 Char"/>
    <w:basedOn w:val="Fontepargpadro"/>
    <w:link w:val="Ttulo6"/>
    <w:uiPriority w:val="99"/>
    <w:rsid w:val="009F424C"/>
    <w:rPr>
      <w:rFonts w:asciiTheme="majorHAnsi" w:eastAsiaTheme="majorEastAsia" w:hAnsiTheme="majorHAnsi" w:cstheme="majorBidi"/>
      <w:i/>
      <w:iCs/>
      <w:color w:val="243F60" w:themeColor="accent1" w:themeShade="7F"/>
      <w:sz w:val="20"/>
      <w:szCs w:val="20"/>
    </w:rPr>
  </w:style>
  <w:style w:type="character" w:customStyle="1" w:styleId="Ttulo9Char">
    <w:name w:val="Título 9 Char"/>
    <w:basedOn w:val="Fontepargpadro"/>
    <w:link w:val="Ttulo9"/>
    <w:uiPriority w:val="99"/>
    <w:rsid w:val="009F424C"/>
    <w:rPr>
      <w:rFonts w:asciiTheme="majorHAnsi" w:eastAsiaTheme="majorEastAsia" w:hAnsiTheme="majorHAnsi" w:cstheme="majorBidi"/>
      <w:i/>
      <w:iCs/>
      <w:color w:val="404040" w:themeColor="text1" w:themeTint="BF"/>
      <w:sz w:val="20"/>
      <w:szCs w:val="20"/>
    </w:rPr>
  </w:style>
  <w:style w:type="paragraph" w:customStyle="1" w:styleId="Recuodecorpodetexto21">
    <w:name w:val="Recuo de corpo de texto 21"/>
    <w:basedOn w:val="Normal"/>
    <w:rsid w:val="009F424C"/>
    <w:pPr>
      <w:widowControl w:val="0"/>
      <w:spacing w:line="-312" w:lineRule="auto"/>
      <w:ind w:left="720"/>
      <w:jc w:val="both"/>
    </w:pPr>
    <w:rPr>
      <w:rFonts w:ascii="CG Times (W1)" w:hAnsi="CG Times (W1)"/>
      <w:sz w:val="24"/>
      <w:lang w:val="pt-PT"/>
    </w:rPr>
  </w:style>
  <w:style w:type="character" w:customStyle="1" w:styleId="Ttulo8Char">
    <w:name w:val="Título 8 Char"/>
    <w:basedOn w:val="Fontepargpadro"/>
    <w:link w:val="Ttulo8"/>
    <w:uiPriority w:val="99"/>
    <w:rsid w:val="002B3711"/>
    <w:rPr>
      <w:rFonts w:asciiTheme="majorHAnsi" w:eastAsiaTheme="majorEastAsia" w:hAnsiTheme="majorHAnsi" w:cstheme="majorBidi"/>
      <w:color w:val="272727" w:themeColor="text1" w:themeTint="D8"/>
      <w:sz w:val="21"/>
      <w:szCs w:val="21"/>
    </w:rPr>
  </w:style>
  <w:style w:type="paragraph" w:customStyle="1" w:styleId="1">
    <w:name w:val="1)"/>
    <w:basedOn w:val="Normal"/>
    <w:uiPriority w:val="99"/>
    <w:rsid w:val="002B3711"/>
    <w:pPr>
      <w:widowControl w:val="0"/>
      <w:tabs>
        <w:tab w:val="left" w:pos="283"/>
      </w:tabs>
      <w:autoSpaceDE w:val="0"/>
      <w:autoSpaceDN w:val="0"/>
      <w:adjustRightInd w:val="0"/>
      <w:spacing w:before="57" w:after="57" w:line="276" w:lineRule="atLeast"/>
      <w:ind w:left="283" w:hanging="283"/>
      <w:jc w:val="both"/>
      <w:textAlignment w:val="center"/>
    </w:pPr>
    <w:rPr>
      <w:rFonts w:ascii="Century731 BT" w:hAnsi="Century731 BT" w:cs="Century731 BT"/>
      <w:color w:val="000000"/>
      <w:sz w:val="22"/>
      <w:szCs w:val="22"/>
    </w:rPr>
  </w:style>
  <w:style w:type="paragraph" w:customStyle="1" w:styleId="10">
    <w:name w:val="1"/>
    <w:basedOn w:val="Normal"/>
    <w:uiPriority w:val="99"/>
    <w:rsid w:val="002B3711"/>
    <w:pPr>
      <w:widowControl w:val="0"/>
      <w:tabs>
        <w:tab w:val="left" w:pos="340"/>
      </w:tabs>
      <w:suppressAutoHyphens/>
      <w:autoSpaceDE w:val="0"/>
      <w:autoSpaceDN w:val="0"/>
      <w:adjustRightInd w:val="0"/>
      <w:spacing w:before="340" w:after="170" w:line="272" w:lineRule="atLeast"/>
      <w:ind w:left="340" w:hanging="340"/>
      <w:textAlignment w:val="center"/>
    </w:pPr>
    <w:rPr>
      <w:rFonts w:ascii="Century731 BT" w:hAnsi="Century731 BT" w:cs="Century731 BT"/>
      <w:b/>
      <w:bCs/>
      <w:color w:val="000000"/>
      <w:w w:val="90"/>
      <w:sz w:val="24"/>
      <w:szCs w:val="24"/>
    </w:rPr>
  </w:style>
  <w:style w:type="paragraph" w:customStyle="1" w:styleId="ANEXO">
    <w:name w:val="ANEXO"/>
    <w:basedOn w:val="Normal"/>
    <w:uiPriority w:val="99"/>
    <w:rsid w:val="002B3711"/>
    <w:pPr>
      <w:widowControl w:val="0"/>
      <w:tabs>
        <w:tab w:val="left" w:pos="340"/>
      </w:tabs>
      <w:suppressAutoHyphens/>
      <w:autoSpaceDE w:val="0"/>
      <w:autoSpaceDN w:val="0"/>
      <w:adjustRightInd w:val="0"/>
      <w:spacing w:before="397" w:after="57" w:line="300" w:lineRule="atLeast"/>
      <w:jc w:val="center"/>
      <w:textAlignment w:val="center"/>
    </w:pPr>
    <w:rPr>
      <w:rFonts w:ascii="Century731 BT" w:hAnsi="Century731 BT" w:cs="Century731 BT"/>
      <w:b/>
      <w:bCs/>
      <w:color w:val="000000"/>
      <w:w w:val="90"/>
      <w:sz w:val="28"/>
      <w:szCs w:val="28"/>
    </w:rPr>
  </w:style>
  <w:style w:type="character" w:styleId="nfase">
    <w:name w:val="Emphasis"/>
    <w:uiPriority w:val="20"/>
    <w:qFormat/>
    <w:locked/>
    <w:rsid w:val="00B048FB"/>
    <w:rPr>
      <w:rFonts w:cs="Times New Roman"/>
      <w:i/>
      <w:iCs/>
    </w:rPr>
  </w:style>
  <w:style w:type="character" w:customStyle="1" w:styleId="HTMLPreformattedChar">
    <w:name w:val="HTML Preformatted Char"/>
    <w:uiPriority w:val="99"/>
    <w:semiHidden/>
    <w:locked/>
    <w:rsid w:val="00B048FB"/>
    <w:rPr>
      <w:rFonts w:ascii="Courier New" w:hAnsi="Courier New" w:cs="Courier New"/>
      <w:sz w:val="20"/>
      <w:szCs w:val="20"/>
      <w:lang w:eastAsia="en-US"/>
    </w:rPr>
  </w:style>
  <w:style w:type="character" w:customStyle="1" w:styleId="BodyTextIndent2Char">
    <w:name w:val="Body Text Indent 2 Char"/>
    <w:uiPriority w:val="99"/>
    <w:semiHidden/>
    <w:locked/>
    <w:rsid w:val="00B048FB"/>
    <w:rPr>
      <w:rFonts w:cs="Times New Roman"/>
      <w:sz w:val="24"/>
      <w:szCs w:val="24"/>
      <w:lang w:eastAsia="en-US"/>
    </w:rPr>
  </w:style>
  <w:style w:type="paragraph" w:styleId="Recuodecorpodetexto3">
    <w:name w:val="Body Text Indent 3"/>
    <w:basedOn w:val="Normal"/>
    <w:link w:val="Recuodecorpodetexto3Char"/>
    <w:uiPriority w:val="99"/>
    <w:rsid w:val="00B048FB"/>
    <w:pPr>
      <w:spacing w:after="120"/>
      <w:ind w:left="283"/>
    </w:pPr>
    <w:rPr>
      <w:sz w:val="16"/>
      <w:szCs w:val="16"/>
      <w:lang w:val="x-none" w:eastAsia="en-US"/>
    </w:rPr>
  </w:style>
  <w:style w:type="character" w:customStyle="1" w:styleId="Recuodecorpodetexto3Char">
    <w:name w:val="Recuo de corpo de texto 3 Char"/>
    <w:basedOn w:val="Fontepargpadro"/>
    <w:link w:val="Recuodecorpodetexto3"/>
    <w:uiPriority w:val="99"/>
    <w:rsid w:val="00B048FB"/>
    <w:rPr>
      <w:rFonts w:ascii="Times New Roman" w:eastAsia="Times New Roman" w:hAnsi="Times New Roman"/>
      <w:sz w:val="16"/>
      <w:szCs w:val="16"/>
      <w:lang w:val="x-none" w:eastAsia="en-US"/>
    </w:rPr>
  </w:style>
  <w:style w:type="paragraph" w:styleId="Textoembloco">
    <w:name w:val="Block Text"/>
    <w:basedOn w:val="Normal"/>
    <w:uiPriority w:val="99"/>
    <w:rsid w:val="00B048FB"/>
    <w:pPr>
      <w:tabs>
        <w:tab w:val="left" w:pos="142"/>
      </w:tabs>
      <w:ind w:left="567" w:right="333"/>
    </w:pPr>
    <w:rPr>
      <w:rFonts w:ascii="Arial" w:hAnsi="Arial"/>
    </w:rPr>
  </w:style>
  <w:style w:type="paragraph" w:customStyle="1" w:styleId="BodyText21">
    <w:name w:val="Body Text 21"/>
    <w:basedOn w:val="Normal"/>
    <w:uiPriority w:val="99"/>
    <w:rsid w:val="00B048FB"/>
    <w:pPr>
      <w:widowControl w:val="0"/>
      <w:spacing w:line="-264" w:lineRule="auto"/>
      <w:jc w:val="both"/>
    </w:pPr>
    <w:rPr>
      <w:rFonts w:ascii="CG Times" w:hAnsi="CG Times"/>
      <w:sz w:val="26"/>
      <w:lang w:val="pt-PT"/>
    </w:rPr>
  </w:style>
  <w:style w:type="paragraph" w:styleId="Recuonormal">
    <w:name w:val="Normal Indent"/>
    <w:basedOn w:val="Normal"/>
    <w:uiPriority w:val="99"/>
    <w:rsid w:val="00B048FB"/>
    <w:pPr>
      <w:ind w:left="720"/>
    </w:pPr>
  </w:style>
  <w:style w:type="paragraph" w:customStyle="1" w:styleId="H4">
    <w:name w:val="H4"/>
    <w:basedOn w:val="Normal"/>
    <w:next w:val="Normal"/>
    <w:rsid w:val="00B048FB"/>
    <w:pPr>
      <w:keepNext/>
      <w:spacing w:before="100" w:after="100"/>
      <w:outlineLvl w:val="4"/>
    </w:pPr>
    <w:rPr>
      <w:b/>
      <w:sz w:val="24"/>
    </w:rPr>
  </w:style>
  <w:style w:type="character" w:customStyle="1" w:styleId="highlightbrs">
    <w:name w:val="highlightbrs"/>
    <w:uiPriority w:val="99"/>
    <w:rsid w:val="00B048FB"/>
    <w:rPr>
      <w:rFonts w:cs="Times New Roman"/>
    </w:rPr>
  </w:style>
  <w:style w:type="character" w:styleId="Refdecomentrio">
    <w:name w:val="annotation reference"/>
    <w:uiPriority w:val="99"/>
    <w:semiHidden/>
    <w:rsid w:val="00B048FB"/>
    <w:rPr>
      <w:rFonts w:cs="Times New Roman"/>
      <w:sz w:val="16"/>
      <w:szCs w:val="16"/>
    </w:rPr>
  </w:style>
  <w:style w:type="paragraph" w:styleId="Textodecomentrio">
    <w:name w:val="annotation text"/>
    <w:basedOn w:val="Normal"/>
    <w:link w:val="TextodecomentrioChar"/>
    <w:uiPriority w:val="99"/>
    <w:semiHidden/>
    <w:rsid w:val="00B048FB"/>
    <w:rPr>
      <w:lang w:val="x-none" w:eastAsia="en-US"/>
    </w:rPr>
  </w:style>
  <w:style w:type="character" w:customStyle="1" w:styleId="TextodecomentrioChar">
    <w:name w:val="Texto de comentário Char"/>
    <w:basedOn w:val="Fontepargpadro"/>
    <w:link w:val="Textodecomentrio"/>
    <w:uiPriority w:val="99"/>
    <w:semiHidden/>
    <w:rsid w:val="00B048FB"/>
    <w:rPr>
      <w:rFonts w:ascii="Times New Roman" w:eastAsia="Times New Roman" w:hAnsi="Times New Roman"/>
      <w:sz w:val="20"/>
      <w:szCs w:val="20"/>
      <w:lang w:val="x-none" w:eastAsia="en-US"/>
    </w:rPr>
  </w:style>
  <w:style w:type="paragraph" w:styleId="Assuntodocomentrio">
    <w:name w:val="annotation subject"/>
    <w:basedOn w:val="Textodecomentrio"/>
    <w:next w:val="Textodecomentrio"/>
    <w:link w:val="AssuntodocomentrioChar"/>
    <w:uiPriority w:val="99"/>
    <w:semiHidden/>
    <w:rsid w:val="00B048FB"/>
    <w:rPr>
      <w:b/>
      <w:bCs/>
    </w:rPr>
  </w:style>
  <w:style w:type="character" w:customStyle="1" w:styleId="AssuntodocomentrioChar">
    <w:name w:val="Assunto do comentário Char"/>
    <w:basedOn w:val="TextodecomentrioChar"/>
    <w:link w:val="Assuntodocomentrio"/>
    <w:uiPriority w:val="99"/>
    <w:semiHidden/>
    <w:rsid w:val="00B048FB"/>
    <w:rPr>
      <w:rFonts w:ascii="Times New Roman" w:eastAsia="Times New Roman" w:hAnsi="Times New Roman"/>
      <w:b/>
      <w:bCs/>
      <w:sz w:val="20"/>
      <w:szCs w:val="20"/>
      <w:lang w:val="x-none" w:eastAsia="en-US"/>
    </w:rPr>
  </w:style>
  <w:style w:type="character" w:customStyle="1" w:styleId="TitleChar">
    <w:name w:val="Title Char"/>
    <w:uiPriority w:val="99"/>
    <w:locked/>
    <w:rsid w:val="00B048FB"/>
    <w:rPr>
      <w:rFonts w:ascii="Cambria" w:hAnsi="Cambria" w:cs="Times New Roman"/>
      <w:b/>
      <w:bCs/>
      <w:kern w:val="28"/>
      <w:sz w:val="32"/>
      <w:szCs w:val="32"/>
      <w:lang w:eastAsia="en-US"/>
    </w:rPr>
  </w:style>
  <w:style w:type="character" w:customStyle="1" w:styleId="SubtitleChar">
    <w:name w:val="Subtitle Char"/>
    <w:uiPriority w:val="99"/>
    <w:locked/>
    <w:rsid w:val="00B048FB"/>
    <w:rPr>
      <w:rFonts w:ascii="Cambria" w:hAnsi="Cambria" w:cs="Times New Roman"/>
      <w:sz w:val="24"/>
      <w:szCs w:val="24"/>
      <w:lang w:eastAsia="en-US"/>
    </w:rPr>
  </w:style>
  <w:style w:type="character" w:customStyle="1" w:styleId="CharChar1">
    <w:name w:val="Char Char1"/>
    <w:uiPriority w:val="99"/>
    <w:semiHidden/>
    <w:rsid w:val="00B048FB"/>
    <w:rPr>
      <w:rFonts w:cs="Times New Roman"/>
      <w:lang w:val="pt-BR" w:eastAsia="pt-BR" w:bidi="ar-SA"/>
    </w:rPr>
  </w:style>
  <w:style w:type="character" w:customStyle="1" w:styleId="FootnoteTextChar">
    <w:name w:val="Footnote Text Char"/>
    <w:uiPriority w:val="99"/>
    <w:semiHidden/>
    <w:locked/>
    <w:rsid w:val="00B048FB"/>
    <w:rPr>
      <w:rFonts w:cs="Times New Roman"/>
      <w:sz w:val="20"/>
      <w:szCs w:val="20"/>
      <w:lang w:eastAsia="en-US"/>
    </w:rPr>
  </w:style>
  <w:style w:type="paragraph" w:styleId="Reviso">
    <w:name w:val="Revision"/>
    <w:hidden/>
    <w:uiPriority w:val="99"/>
    <w:semiHidden/>
    <w:rsid w:val="00B048FB"/>
    <w:rPr>
      <w:rFonts w:ascii="Times New Roman" w:eastAsia="Times New Roman" w:hAnsi="Times New Roman"/>
      <w:sz w:val="24"/>
      <w:szCs w:val="24"/>
      <w:lang w:eastAsia="en-US"/>
    </w:rPr>
  </w:style>
  <w:style w:type="paragraph" w:customStyle="1" w:styleId="STF-Padro">
    <w:name w:val="STF-Padrão"/>
    <w:basedOn w:val="Normal"/>
    <w:uiPriority w:val="99"/>
    <w:rsid w:val="00B048FB"/>
    <w:pPr>
      <w:widowControl w:val="0"/>
      <w:tabs>
        <w:tab w:val="left" w:pos="1701"/>
      </w:tabs>
      <w:autoSpaceDN w:val="0"/>
      <w:adjustRightInd w:val="0"/>
      <w:spacing w:line="264" w:lineRule="auto"/>
      <w:ind w:firstLine="567"/>
      <w:jc w:val="both"/>
    </w:pPr>
    <w:rPr>
      <w:rFonts w:ascii="Palatino Linotype" w:eastAsia="Arial Unicode MS" w:hAnsi="Palatino Linotype" w:cs="Tahoma"/>
      <w:sz w:val="26"/>
      <w:szCs w:val="24"/>
      <w:lang w:eastAsia="en-US"/>
    </w:rPr>
  </w:style>
  <w:style w:type="paragraph" w:styleId="SemEspaamento">
    <w:name w:val="No Spacing"/>
    <w:uiPriority w:val="1"/>
    <w:qFormat/>
    <w:rsid w:val="00B048FB"/>
    <w:pPr>
      <w:spacing w:line="360" w:lineRule="auto"/>
      <w:ind w:firstLine="709"/>
      <w:jc w:val="both"/>
    </w:pPr>
    <w:rPr>
      <w:rFonts w:ascii="Times New Roman" w:hAnsi="Times New Roman"/>
      <w:sz w:val="24"/>
      <w:szCs w:val="24"/>
      <w:lang w:eastAsia="en-US"/>
    </w:rPr>
  </w:style>
  <w:style w:type="table" w:styleId="Tabelacomgrade">
    <w:name w:val="Table Grid"/>
    <w:basedOn w:val="Tabelanormal"/>
    <w:locked/>
    <w:rsid w:val="00B048FB"/>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oins0">
    <w:name w:val="msoins"/>
    <w:rsid w:val="00B048FB"/>
  </w:style>
  <w:style w:type="paragraph" w:customStyle="1" w:styleId="PargrafodaLista2">
    <w:name w:val="Parágrafo da Lista2"/>
    <w:basedOn w:val="Normal"/>
    <w:qFormat/>
    <w:rsid w:val="00B048FB"/>
    <w:pPr>
      <w:ind w:left="720"/>
      <w:contextualSpacing/>
    </w:pPr>
    <w:rPr>
      <w:sz w:val="24"/>
      <w:szCs w:val="24"/>
      <w:lang w:eastAsia="en-US"/>
    </w:rPr>
  </w:style>
  <w:style w:type="character" w:customStyle="1" w:styleId="HeaderChar">
    <w:name w:val="Header Char"/>
    <w:semiHidden/>
    <w:locked/>
    <w:rsid w:val="00B048FB"/>
    <w:rPr>
      <w:rFonts w:eastAsia="Calibri"/>
      <w:lang w:val="pt-BR" w:eastAsia="pt-BR" w:bidi="ar-SA"/>
    </w:rPr>
  </w:style>
  <w:style w:type="character" w:customStyle="1" w:styleId="FooterChar">
    <w:name w:val="Footer Char"/>
    <w:semiHidden/>
    <w:locked/>
    <w:rsid w:val="00B048FB"/>
    <w:rPr>
      <w:rFonts w:eastAsia="Calibri"/>
      <w:lang w:val="pt-BR" w:eastAsia="pt-BR" w:bidi="ar-SA"/>
    </w:rPr>
  </w:style>
  <w:style w:type="paragraph" w:customStyle="1" w:styleId="cab">
    <w:name w:val="cab"/>
    <w:basedOn w:val="Normal"/>
    <w:rsid w:val="00B048FB"/>
    <w:pPr>
      <w:spacing w:before="100" w:beforeAutospacing="1" w:after="100" w:afterAutospacing="1" w:line="270" w:lineRule="atLeast"/>
    </w:pPr>
    <w:rPr>
      <w:sz w:val="18"/>
      <w:szCs w:val="18"/>
    </w:rPr>
  </w:style>
  <w:style w:type="paragraph" w:customStyle="1" w:styleId="par">
    <w:name w:val="par"/>
    <w:basedOn w:val="Normal"/>
    <w:rsid w:val="00B048FB"/>
    <w:pPr>
      <w:spacing w:before="100" w:beforeAutospacing="1" w:after="100" w:afterAutospacing="1" w:line="270" w:lineRule="atLeast"/>
    </w:pPr>
    <w:rPr>
      <w:sz w:val="18"/>
      <w:szCs w:val="18"/>
    </w:rPr>
  </w:style>
  <w:style w:type="paragraph" w:customStyle="1" w:styleId="info">
    <w:name w:val="info"/>
    <w:basedOn w:val="Normal"/>
    <w:rsid w:val="00B048FB"/>
    <w:pPr>
      <w:spacing w:before="100" w:beforeAutospacing="1" w:after="100" w:afterAutospacing="1" w:line="270" w:lineRule="atLeast"/>
    </w:pPr>
    <w:rPr>
      <w:color w:val="999999"/>
      <w:sz w:val="17"/>
      <w:szCs w:val="17"/>
    </w:rPr>
  </w:style>
  <w:style w:type="character" w:customStyle="1" w:styleId="report-component2">
    <w:name w:val="report-component2"/>
    <w:basedOn w:val="Fontepargpadro"/>
    <w:rsid w:val="00B048FB"/>
  </w:style>
  <w:style w:type="character" w:customStyle="1" w:styleId="document--time-since">
    <w:name w:val="document--time-since"/>
    <w:basedOn w:val="Fontepargpadro"/>
    <w:rsid w:val="00B048FB"/>
  </w:style>
  <w:style w:type="character" w:customStyle="1" w:styleId="vote7">
    <w:name w:val="vote7"/>
    <w:basedOn w:val="Fontepargpadro"/>
    <w:rsid w:val="00B048FB"/>
  </w:style>
  <w:style w:type="character" w:customStyle="1" w:styleId="leiam2">
    <w:name w:val="leiam2"/>
    <w:basedOn w:val="Fontepargpadro"/>
    <w:rsid w:val="00B048FB"/>
  </w:style>
  <w:style w:type="character" w:customStyle="1" w:styleId="count3">
    <w:name w:val="count3"/>
    <w:basedOn w:val="Fontepargpadro"/>
    <w:rsid w:val="00B048FB"/>
  </w:style>
  <w:style w:type="character" w:customStyle="1" w:styleId="aba">
    <w:name w:val="aba"/>
    <w:basedOn w:val="Fontepargpadro"/>
    <w:rsid w:val="00B048FB"/>
  </w:style>
  <w:style w:type="character" w:customStyle="1" w:styleId="highlightbrs2">
    <w:name w:val="highlightbrs2"/>
    <w:rsid w:val="00B048FB"/>
    <w:rPr>
      <w:b/>
      <w:bCs/>
      <w:vanish w:val="0"/>
      <w:webHidden w:val="0"/>
      <w:color w:val="FF0000"/>
      <w:specVanish w:val="0"/>
    </w:rPr>
  </w:style>
  <w:style w:type="character" w:customStyle="1" w:styleId="labelpontilhada">
    <w:name w:val="label_pontilhada"/>
    <w:basedOn w:val="Fontepargpadro"/>
    <w:rsid w:val="00B048FB"/>
  </w:style>
  <w:style w:type="character" w:customStyle="1" w:styleId="Ttulo7Char">
    <w:name w:val="Título 7 Char"/>
    <w:basedOn w:val="Fontepargpadro"/>
    <w:link w:val="Ttulo7"/>
    <w:rsid w:val="00711287"/>
    <w:rPr>
      <w:rFonts w:ascii="Times New Roman" w:eastAsia="Times New Roman" w:hAnsi="Times New Roman"/>
      <w:sz w:val="24"/>
      <w:szCs w:val="24"/>
    </w:rPr>
  </w:style>
  <w:style w:type="character" w:customStyle="1" w:styleId="NormalWebChar">
    <w:name w:val="Normal (Web) Char"/>
    <w:link w:val="NormalWeb"/>
    <w:uiPriority w:val="99"/>
    <w:locked/>
    <w:rsid w:val="00711287"/>
    <w:rPr>
      <w:rFonts w:ascii="Times New Roman" w:eastAsia="Times New Roman" w:hAnsi="Times New Roman"/>
      <w:sz w:val="24"/>
      <w:szCs w:val="20"/>
    </w:rPr>
  </w:style>
  <w:style w:type="paragraph" w:customStyle="1" w:styleId="texto2">
    <w:name w:val="texto2"/>
    <w:basedOn w:val="Normal"/>
    <w:rsid w:val="00711287"/>
    <w:pPr>
      <w:spacing w:before="100" w:beforeAutospacing="1" w:after="100" w:afterAutospacing="1"/>
    </w:pPr>
    <w:rPr>
      <w:sz w:val="24"/>
      <w:szCs w:val="24"/>
    </w:rPr>
  </w:style>
  <w:style w:type="paragraph" w:customStyle="1" w:styleId="ListParagraph1">
    <w:name w:val="List Paragraph1"/>
    <w:basedOn w:val="Normal"/>
    <w:rsid w:val="00A53121"/>
    <w:pPr>
      <w:ind w:left="720"/>
      <w:contextualSpacing/>
    </w:pPr>
    <w:rPr>
      <w:sz w:val="24"/>
      <w:szCs w:val="24"/>
    </w:rPr>
  </w:style>
  <w:style w:type="table" w:customStyle="1" w:styleId="TableNormal">
    <w:name w:val="Table Normal"/>
    <w:uiPriority w:val="2"/>
    <w:semiHidden/>
    <w:unhideWhenUsed/>
    <w:qFormat/>
    <w:rsid w:val="009E730F"/>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E730F"/>
    <w:pPr>
      <w:widowControl w:val="0"/>
      <w:autoSpaceDE w:val="0"/>
      <w:autoSpaceDN w:val="0"/>
    </w:pPr>
    <w:rPr>
      <w:rFonts w:ascii="Courier New" w:eastAsia="Courier New" w:hAnsi="Courier New" w:cs="Courier New"/>
      <w:sz w:val="22"/>
      <w:szCs w:val="22"/>
      <w:lang w:bidi="pt-BR"/>
    </w:rPr>
  </w:style>
  <w:style w:type="character" w:styleId="MenoPendente">
    <w:name w:val="Unresolved Mention"/>
    <w:basedOn w:val="Fontepargpadro"/>
    <w:uiPriority w:val="99"/>
    <w:semiHidden/>
    <w:unhideWhenUsed/>
    <w:rsid w:val="00596BAA"/>
    <w:rPr>
      <w:color w:val="605E5C"/>
      <w:shd w:val="clear" w:color="auto" w:fill="E1DFDD"/>
    </w:rPr>
  </w:style>
  <w:style w:type="paragraph" w:styleId="Citao">
    <w:name w:val="Quote"/>
    <w:basedOn w:val="Normal"/>
    <w:next w:val="Normal"/>
    <w:link w:val="CitaoChar"/>
    <w:uiPriority w:val="29"/>
    <w:qFormat/>
    <w:rsid w:val="00953D57"/>
    <w:pPr>
      <w:ind w:left="851"/>
      <w:jc w:val="both"/>
    </w:pPr>
    <w:rPr>
      <w:rFonts w:ascii="Arial Nova Cond" w:hAnsi="Arial Nova Cond" w:cs="Arial"/>
    </w:rPr>
  </w:style>
  <w:style w:type="character" w:customStyle="1" w:styleId="CitaoChar">
    <w:name w:val="Citação Char"/>
    <w:basedOn w:val="Fontepargpadro"/>
    <w:link w:val="Citao"/>
    <w:uiPriority w:val="29"/>
    <w:rsid w:val="00953D57"/>
    <w:rPr>
      <w:rFonts w:ascii="Arial Nova Cond" w:eastAsia="Times New Roman" w:hAnsi="Arial Nova Cond" w:cs="Arial"/>
      <w:sz w:val="20"/>
      <w:szCs w:val="20"/>
    </w:rPr>
  </w:style>
  <w:style w:type="character" w:styleId="TextodoEspaoReservado">
    <w:name w:val="Placeholder Text"/>
    <w:basedOn w:val="Fontepargpadro"/>
    <w:uiPriority w:val="99"/>
    <w:semiHidden/>
    <w:rsid w:val="00624B1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41846">
      <w:bodyDiv w:val="1"/>
      <w:marLeft w:val="0"/>
      <w:marRight w:val="0"/>
      <w:marTop w:val="0"/>
      <w:marBottom w:val="0"/>
      <w:divBdr>
        <w:top w:val="none" w:sz="0" w:space="0" w:color="auto"/>
        <w:left w:val="none" w:sz="0" w:space="0" w:color="auto"/>
        <w:bottom w:val="none" w:sz="0" w:space="0" w:color="auto"/>
        <w:right w:val="none" w:sz="0" w:space="0" w:color="auto"/>
      </w:divBdr>
    </w:div>
    <w:div w:id="246548372">
      <w:bodyDiv w:val="1"/>
      <w:marLeft w:val="0"/>
      <w:marRight w:val="0"/>
      <w:marTop w:val="0"/>
      <w:marBottom w:val="0"/>
      <w:divBdr>
        <w:top w:val="none" w:sz="0" w:space="0" w:color="auto"/>
        <w:left w:val="none" w:sz="0" w:space="0" w:color="auto"/>
        <w:bottom w:val="none" w:sz="0" w:space="0" w:color="auto"/>
        <w:right w:val="none" w:sz="0" w:space="0" w:color="auto"/>
      </w:divBdr>
    </w:div>
    <w:div w:id="254436288">
      <w:bodyDiv w:val="1"/>
      <w:marLeft w:val="0"/>
      <w:marRight w:val="0"/>
      <w:marTop w:val="0"/>
      <w:marBottom w:val="0"/>
      <w:divBdr>
        <w:top w:val="none" w:sz="0" w:space="0" w:color="auto"/>
        <w:left w:val="none" w:sz="0" w:space="0" w:color="auto"/>
        <w:bottom w:val="none" w:sz="0" w:space="0" w:color="auto"/>
        <w:right w:val="none" w:sz="0" w:space="0" w:color="auto"/>
      </w:divBdr>
    </w:div>
    <w:div w:id="464549641">
      <w:bodyDiv w:val="1"/>
      <w:marLeft w:val="0"/>
      <w:marRight w:val="0"/>
      <w:marTop w:val="0"/>
      <w:marBottom w:val="0"/>
      <w:divBdr>
        <w:top w:val="none" w:sz="0" w:space="0" w:color="auto"/>
        <w:left w:val="none" w:sz="0" w:space="0" w:color="auto"/>
        <w:bottom w:val="none" w:sz="0" w:space="0" w:color="auto"/>
        <w:right w:val="none" w:sz="0" w:space="0" w:color="auto"/>
      </w:divBdr>
    </w:div>
    <w:div w:id="591547377">
      <w:marLeft w:val="0"/>
      <w:marRight w:val="0"/>
      <w:marTop w:val="0"/>
      <w:marBottom w:val="0"/>
      <w:divBdr>
        <w:top w:val="none" w:sz="0" w:space="0" w:color="auto"/>
        <w:left w:val="none" w:sz="0" w:space="0" w:color="auto"/>
        <w:bottom w:val="none" w:sz="0" w:space="0" w:color="auto"/>
        <w:right w:val="none" w:sz="0" w:space="0" w:color="auto"/>
      </w:divBdr>
      <w:divsChild>
        <w:div w:id="591547374">
          <w:marLeft w:val="0"/>
          <w:marRight w:val="0"/>
          <w:marTop w:val="0"/>
          <w:marBottom w:val="0"/>
          <w:divBdr>
            <w:top w:val="none" w:sz="0" w:space="0" w:color="auto"/>
            <w:left w:val="none" w:sz="0" w:space="0" w:color="auto"/>
            <w:bottom w:val="none" w:sz="0" w:space="0" w:color="auto"/>
            <w:right w:val="none" w:sz="0" w:space="0" w:color="auto"/>
          </w:divBdr>
        </w:div>
        <w:div w:id="591547378">
          <w:marLeft w:val="0"/>
          <w:marRight w:val="0"/>
          <w:marTop w:val="0"/>
          <w:marBottom w:val="0"/>
          <w:divBdr>
            <w:top w:val="none" w:sz="0" w:space="0" w:color="auto"/>
            <w:left w:val="none" w:sz="0" w:space="0" w:color="auto"/>
            <w:bottom w:val="none" w:sz="0" w:space="0" w:color="auto"/>
            <w:right w:val="none" w:sz="0" w:space="0" w:color="auto"/>
          </w:divBdr>
        </w:div>
        <w:div w:id="591547382">
          <w:marLeft w:val="50"/>
          <w:marRight w:val="0"/>
          <w:marTop w:val="100"/>
          <w:marBottom w:val="100"/>
          <w:divBdr>
            <w:top w:val="none" w:sz="0" w:space="0" w:color="auto"/>
            <w:left w:val="single" w:sz="8" w:space="3" w:color="000000"/>
            <w:bottom w:val="none" w:sz="0" w:space="0" w:color="auto"/>
            <w:right w:val="none" w:sz="0" w:space="0" w:color="auto"/>
          </w:divBdr>
          <w:divsChild>
            <w:div w:id="591547372">
              <w:marLeft w:val="0"/>
              <w:marRight w:val="0"/>
              <w:marTop w:val="0"/>
              <w:marBottom w:val="0"/>
              <w:divBdr>
                <w:top w:val="none" w:sz="0" w:space="0" w:color="auto"/>
                <w:left w:val="none" w:sz="0" w:space="0" w:color="auto"/>
                <w:bottom w:val="none" w:sz="0" w:space="0" w:color="auto"/>
                <w:right w:val="none" w:sz="0" w:space="0" w:color="auto"/>
              </w:divBdr>
            </w:div>
            <w:div w:id="591547373">
              <w:marLeft w:val="0"/>
              <w:marRight w:val="0"/>
              <w:marTop w:val="0"/>
              <w:marBottom w:val="0"/>
              <w:divBdr>
                <w:top w:val="none" w:sz="0" w:space="0" w:color="auto"/>
                <w:left w:val="none" w:sz="0" w:space="0" w:color="auto"/>
                <w:bottom w:val="none" w:sz="0" w:space="0" w:color="auto"/>
                <w:right w:val="none" w:sz="0" w:space="0" w:color="auto"/>
              </w:divBdr>
            </w:div>
            <w:div w:id="591547375">
              <w:marLeft w:val="0"/>
              <w:marRight w:val="0"/>
              <w:marTop w:val="0"/>
              <w:marBottom w:val="0"/>
              <w:divBdr>
                <w:top w:val="none" w:sz="0" w:space="0" w:color="auto"/>
                <w:left w:val="none" w:sz="0" w:space="0" w:color="auto"/>
                <w:bottom w:val="none" w:sz="0" w:space="0" w:color="auto"/>
                <w:right w:val="none" w:sz="0" w:space="0" w:color="auto"/>
              </w:divBdr>
            </w:div>
            <w:div w:id="591547376">
              <w:marLeft w:val="0"/>
              <w:marRight w:val="0"/>
              <w:marTop w:val="0"/>
              <w:marBottom w:val="0"/>
              <w:divBdr>
                <w:top w:val="none" w:sz="0" w:space="0" w:color="auto"/>
                <w:left w:val="none" w:sz="0" w:space="0" w:color="auto"/>
                <w:bottom w:val="none" w:sz="0" w:space="0" w:color="auto"/>
                <w:right w:val="none" w:sz="0" w:space="0" w:color="auto"/>
              </w:divBdr>
            </w:div>
            <w:div w:id="591547379">
              <w:marLeft w:val="0"/>
              <w:marRight w:val="0"/>
              <w:marTop w:val="0"/>
              <w:marBottom w:val="0"/>
              <w:divBdr>
                <w:top w:val="none" w:sz="0" w:space="0" w:color="auto"/>
                <w:left w:val="none" w:sz="0" w:space="0" w:color="auto"/>
                <w:bottom w:val="none" w:sz="0" w:space="0" w:color="auto"/>
                <w:right w:val="none" w:sz="0" w:space="0" w:color="auto"/>
              </w:divBdr>
            </w:div>
            <w:div w:id="591547380">
              <w:marLeft w:val="0"/>
              <w:marRight w:val="0"/>
              <w:marTop w:val="0"/>
              <w:marBottom w:val="0"/>
              <w:divBdr>
                <w:top w:val="none" w:sz="0" w:space="0" w:color="auto"/>
                <w:left w:val="none" w:sz="0" w:space="0" w:color="auto"/>
                <w:bottom w:val="none" w:sz="0" w:space="0" w:color="auto"/>
                <w:right w:val="none" w:sz="0" w:space="0" w:color="auto"/>
              </w:divBdr>
            </w:div>
            <w:div w:id="591547381">
              <w:marLeft w:val="0"/>
              <w:marRight w:val="0"/>
              <w:marTop w:val="0"/>
              <w:marBottom w:val="0"/>
              <w:divBdr>
                <w:top w:val="none" w:sz="0" w:space="0" w:color="auto"/>
                <w:left w:val="none" w:sz="0" w:space="0" w:color="auto"/>
                <w:bottom w:val="none" w:sz="0" w:space="0" w:color="auto"/>
                <w:right w:val="none" w:sz="0" w:space="0" w:color="auto"/>
              </w:divBdr>
            </w:div>
            <w:div w:id="59154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47384">
      <w:marLeft w:val="0"/>
      <w:marRight w:val="0"/>
      <w:marTop w:val="0"/>
      <w:marBottom w:val="0"/>
      <w:divBdr>
        <w:top w:val="none" w:sz="0" w:space="0" w:color="auto"/>
        <w:left w:val="none" w:sz="0" w:space="0" w:color="auto"/>
        <w:bottom w:val="none" w:sz="0" w:space="0" w:color="auto"/>
        <w:right w:val="none" w:sz="0" w:space="0" w:color="auto"/>
      </w:divBdr>
      <w:divsChild>
        <w:div w:id="591547385">
          <w:marLeft w:val="0"/>
          <w:marRight w:val="0"/>
          <w:marTop w:val="0"/>
          <w:marBottom w:val="0"/>
          <w:divBdr>
            <w:top w:val="none" w:sz="0" w:space="0" w:color="auto"/>
            <w:left w:val="none" w:sz="0" w:space="0" w:color="auto"/>
            <w:bottom w:val="none" w:sz="0" w:space="0" w:color="auto"/>
            <w:right w:val="none" w:sz="0" w:space="0" w:color="auto"/>
          </w:divBdr>
        </w:div>
      </w:divsChild>
    </w:div>
    <w:div w:id="649672544">
      <w:bodyDiv w:val="1"/>
      <w:marLeft w:val="0"/>
      <w:marRight w:val="0"/>
      <w:marTop w:val="0"/>
      <w:marBottom w:val="0"/>
      <w:divBdr>
        <w:top w:val="none" w:sz="0" w:space="0" w:color="auto"/>
        <w:left w:val="none" w:sz="0" w:space="0" w:color="auto"/>
        <w:bottom w:val="none" w:sz="0" w:space="0" w:color="auto"/>
        <w:right w:val="none" w:sz="0" w:space="0" w:color="auto"/>
      </w:divBdr>
    </w:div>
    <w:div w:id="891774129">
      <w:bodyDiv w:val="1"/>
      <w:marLeft w:val="0"/>
      <w:marRight w:val="0"/>
      <w:marTop w:val="0"/>
      <w:marBottom w:val="0"/>
      <w:divBdr>
        <w:top w:val="none" w:sz="0" w:space="0" w:color="auto"/>
        <w:left w:val="none" w:sz="0" w:space="0" w:color="auto"/>
        <w:bottom w:val="none" w:sz="0" w:space="0" w:color="auto"/>
        <w:right w:val="none" w:sz="0" w:space="0" w:color="auto"/>
      </w:divBdr>
    </w:div>
    <w:div w:id="1544099328">
      <w:bodyDiv w:val="1"/>
      <w:marLeft w:val="0"/>
      <w:marRight w:val="0"/>
      <w:marTop w:val="0"/>
      <w:marBottom w:val="0"/>
      <w:divBdr>
        <w:top w:val="none" w:sz="0" w:space="0" w:color="auto"/>
        <w:left w:val="none" w:sz="0" w:space="0" w:color="auto"/>
        <w:bottom w:val="none" w:sz="0" w:space="0" w:color="auto"/>
        <w:right w:val="none" w:sz="0" w:space="0" w:color="auto"/>
      </w:divBdr>
    </w:div>
    <w:div w:id="1892304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dir.stf.jus.br/paginadorpub/paginador.jsp?docTP=AC&amp;docID=45483" TargetMode="External"/><Relationship Id="rId18" Type="http://schemas.openxmlformats.org/officeDocument/2006/relationships/hyperlink" Target="https://redir.stf.jus.br/paginadorpub/paginador.jsp?docTP=TP&amp;docID=4919271"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planalto.gov.br/ccivil_03/leis/2002/l10637.htm" TargetMode="External"/><Relationship Id="rId7" Type="http://schemas.openxmlformats.org/officeDocument/2006/relationships/settings" Target="settings.xml"/><Relationship Id="rId12" Type="http://schemas.openxmlformats.org/officeDocument/2006/relationships/hyperlink" Target="https://redir.stf.jus.br/paginadorpub/paginador.jsp?docTP=AC&amp;docID=261730" TargetMode="External"/><Relationship Id="rId17" Type="http://schemas.openxmlformats.org/officeDocument/2006/relationships/hyperlink" Target="https://redir.stf.jus.br/paginadorpub/paginador.jsp?docTP=TP&amp;docID=1949790"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processo.stj.jus.br/processo/revista/documento/mediado/?componente=ITA&amp;sequencial=783438&amp;num_registro=200702396682&amp;data=20080613&amp;formato=PDF" TargetMode="External"/><Relationship Id="rId20" Type="http://schemas.openxmlformats.org/officeDocument/2006/relationships/hyperlink" Target="https://www.planalto.gov.br/ccivil_03/leis/l9718compilada.ht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dir.stf.jus.br/paginadorpub/paginador.jsp?docTP=TP&amp;docID=755808435"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dir.stf.jus.br/paginadorpub/paginador.jsp?docTP=AC&amp;docID=620197"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planalto.gov.br/ccivil_03/_ato2011-2014/2014/lei/l12973.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dir.stf.jus.br/paginadorpub/paginador.jsp?docTP=AC&amp;docID=597559" TargetMode="External"/><Relationship Id="rId22" Type="http://schemas.openxmlformats.org/officeDocument/2006/relationships/hyperlink" Target="https://www.planalto.gov.br/ccivil_03/leis/2003/l10.833.htm"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ed9cdfa-2aa6-4b42-97cc-727035f3550b" xsi:nil="true"/>
    <lcf76f155ced4ddcb4097134ff3c332f xmlns="98b388a5-e921-4b89-a092-fdc69b2bb11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71FA8EA707F21F4B8A81FCD554289CF2" ma:contentTypeVersion="18" ma:contentTypeDescription="Crie um novo documento." ma:contentTypeScope="" ma:versionID="f294b53b28a50cb607d17e940da29990">
  <xsd:schema xmlns:xsd="http://www.w3.org/2001/XMLSchema" xmlns:xs="http://www.w3.org/2001/XMLSchema" xmlns:p="http://schemas.microsoft.com/office/2006/metadata/properties" xmlns:ns2="98b388a5-e921-4b89-a092-fdc69b2bb111" xmlns:ns3="2ed9cdfa-2aa6-4b42-97cc-727035f3550b" targetNamespace="http://schemas.microsoft.com/office/2006/metadata/properties" ma:root="true" ma:fieldsID="93d1e0ce6853b0217e563fd34445eb2a" ns2:_="" ns3:_="">
    <xsd:import namespace="98b388a5-e921-4b89-a092-fdc69b2bb111"/>
    <xsd:import namespace="2ed9cdfa-2aa6-4b42-97cc-727035f3550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b388a5-e921-4b89-a092-fdc69b2bb1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75817f1d-365a-4edc-b9a1-52b134f37d1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d9cdfa-2aa6-4b42-97cc-727035f3550b"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7c2f879e-1c77-4762-8591-4a98bc0dd50b}" ma:internalName="TaxCatchAll" ma:showField="CatchAllData" ma:web="2ed9cdfa-2aa6-4b42-97cc-727035f355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76DFF3-3020-43C1-9A87-4D1EBD1B07B6}">
  <ds:schemaRefs>
    <ds:schemaRef ds:uri="http://purl.org/dc/elements/1.1/"/>
    <ds:schemaRef ds:uri="http://schemas.microsoft.com/office/2006/documentManagement/types"/>
    <ds:schemaRef ds:uri="http://www.w3.org/XML/1998/namespace"/>
    <ds:schemaRef ds:uri="http://schemas.microsoft.com/office/2006/metadata/properties"/>
    <ds:schemaRef ds:uri="98b388a5-e921-4b89-a092-fdc69b2bb111"/>
    <ds:schemaRef ds:uri="http://schemas.openxmlformats.org/package/2006/metadata/core-properties"/>
    <ds:schemaRef ds:uri="http://schemas.microsoft.com/office/infopath/2007/PartnerControls"/>
    <ds:schemaRef ds:uri="http://purl.org/dc/terms/"/>
    <ds:schemaRef ds:uri="2ed9cdfa-2aa6-4b42-97cc-727035f3550b"/>
    <ds:schemaRef ds:uri="http://purl.org/dc/dcmitype/"/>
  </ds:schemaRefs>
</ds:datastoreItem>
</file>

<file path=customXml/itemProps2.xml><?xml version="1.0" encoding="utf-8"?>
<ds:datastoreItem xmlns:ds="http://schemas.openxmlformats.org/officeDocument/2006/customXml" ds:itemID="{16E00021-9EEE-4DCE-858D-7AE7C656DA54}">
  <ds:schemaRefs>
    <ds:schemaRef ds:uri="http://schemas.microsoft.com/sharepoint/v3/contenttype/forms"/>
  </ds:schemaRefs>
</ds:datastoreItem>
</file>

<file path=customXml/itemProps3.xml><?xml version="1.0" encoding="utf-8"?>
<ds:datastoreItem xmlns:ds="http://schemas.openxmlformats.org/officeDocument/2006/customXml" ds:itemID="{0B97ADD1-DB01-4A56-A78C-ED74AC90D5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b388a5-e921-4b89-a092-fdc69b2bb111"/>
    <ds:schemaRef ds:uri="2ed9cdfa-2aa6-4b42-97cc-727035f355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59AF99-790E-4AAD-85C9-6186BCA87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6625</Words>
  <Characters>35775</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SEMINÁRIO I – DIREITO TRIBUTÁRIO E CONCEITO DE TRIBUTO</vt:lpstr>
    </vt:vector>
  </TitlesOfParts>
  <Company>Microsoft</Company>
  <LinksUpToDate>false</LinksUpToDate>
  <CharactersWithSpaces>42316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SEMINÁRIO I – DIREITO TRIBUTÁRIO E CONCEITO DE TRIBUTO</dc:title>
  <dc:creator>Aurora</dc:creator>
  <cp:lastModifiedBy>Vanessa Mello Nogueira</cp:lastModifiedBy>
  <cp:revision>2</cp:revision>
  <cp:lastPrinted>2024-04-15T22:30:00Z</cp:lastPrinted>
  <dcterms:created xsi:type="dcterms:W3CDTF">2024-04-16T20:20:00Z</dcterms:created>
  <dcterms:modified xsi:type="dcterms:W3CDTF">2024-04-16T20:20:00Z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0x01010071FA8EA707F21F4B8A81FCD554289CF2</vt:lpwstr>
  </property>
  <property fmtid="{D5CDD505-2E9C-101B-9397-08002B2CF9AE}" pid="3" name="MediaServiceImageTags">
    <vt:lpwstr/>
  </property>
</Properties>
</file>