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2960" w:rsidRPr="001D2960" w:rsidRDefault="001D2960" w:rsidP="001D2960">
      <w:pPr>
        <w:pStyle w:val="Ttulo2"/>
        <w:rPr>
          <w:rFonts w:ascii="Times New Roman" w:hAnsi="Times New Roman"/>
          <w:sz w:val="24"/>
          <w:szCs w:val="24"/>
          <w:lang w:eastAsia="en-US"/>
        </w:rPr>
      </w:pPr>
      <w:r w:rsidRPr="001D2960">
        <w:rPr>
          <w:rFonts w:ascii="Times New Roman" w:hAnsi="Times New Roman"/>
          <w:sz w:val="24"/>
          <w:szCs w:val="24"/>
          <w:lang w:eastAsia="en-US"/>
        </w:rPr>
        <w:t>Aluna Renata Sampaio Valera</w:t>
      </w:r>
    </w:p>
    <w:p w:rsidR="001D2960" w:rsidRPr="001D2960" w:rsidRDefault="001D2960" w:rsidP="001D2960">
      <w:pPr>
        <w:pStyle w:val="Ttulo2"/>
        <w:rPr>
          <w:rFonts w:ascii="Times New Roman" w:hAnsi="Times New Roman"/>
          <w:sz w:val="24"/>
          <w:szCs w:val="24"/>
          <w:lang w:eastAsia="en-US"/>
        </w:rPr>
      </w:pPr>
      <w:r w:rsidRPr="001D2960">
        <w:rPr>
          <w:rFonts w:ascii="Times New Roman" w:hAnsi="Times New Roman"/>
          <w:sz w:val="24"/>
          <w:szCs w:val="24"/>
          <w:lang w:eastAsia="en-US"/>
        </w:rPr>
        <w:t>RA00351837</w:t>
      </w:r>
      <w:bookmarkStart w:id="0" w:name="_GoBack"/>
      <w:bookmarkEnd w:id="0"/>
    </w:p>
    <w:p w:rsidR="001D2960" w:rsidRDefault="001D2960" w:rsidP="001D2960">
      <w:pPr>
        <w:pStyle w:val="Ttulo2"/>
        <w:rPr>
          <w:rFonts w:ascii="Times New Roman" w:hAnsi="Times New Roman"/>
          <w:sz w:val="24"/>
          <w:szCs w:val="24"/>
          <w:lang w:eastAsia="en-US"/>
        </w:rPr>
      </w:pPr>
      <w:proofErr w:type="gramStart"/>
      <w:r w:rsidRPr="001D2960">
        <w:rPr>
          <w:rFonts w:ascii="Times New Roman" w:hAnsi="Times New Roman"/>
          <w:sz w:val="24"/>
          <w:szCs w:val="24"/>
          <w:lang w:eastAsia="en-US"/>
        </w:rPr>
        <w:t>Pós Graduação</w:t>
      </w:r>
      <w:proofErr w:type="gramEnd"/>
      <w:r w:rsidRPr="001D2960">
        <w:rPr>
          <w:rFonts w:ascii="Times New Roman" w:hAnsi="Times New Roman"/>
          <w:sz w:val="24"/>
          <w:szCs w:val="24"/>
          <w:lang w:eastAsia="en-US"/>
        </w:rPr>
        <w:t xml:space="preserve"> em DIREITO TRIBUTÁRIO, turma 657T1TNA</w:t>
      </w:r>
    </w:p>
    <w:p w:rsidR="001D2960" w:rsidRPr="001D2960" w:rsidRDefault="001D2960" w:rsidP="001D2960">
      <w:pPr>
        <w:rPr>
          <w:lang w:eastAsia="en-US"/>
        </w:rPr>
      </w:pPr>
    </w:p>
    <w:p w:rsidR="001D2960" w:rsidRPr="009E7D8F" w:rsidRDefault="001D2960" w:rsidP="001D2960">
      <w:pPr>
        <w:pStyle w:val="Ttulo2"/>
        <w:rPr>
          <w:lang w:eastAsia="en-US"/>
        </w:rPr>
      </w:pPr>
      <w:r w:rsidRPr="009E7D8F">
        <w:rPr>
          <w:lang w:eastAsia="en-US"/>
        </w:rPr>
        <w:t>Análise de casos</w:t>
      </w:r>
      <w:r>
        <w:rPr>
          <w:lang w:eastAsia="en-US"/>
        </w:rPr>
        <w:t xml:space="preserve"> IV</w:t>
      </w:r>
    </w:p>
    <w:p w:rsidR="001D2960" w:rsidRPr="0004058C" w:rsidRDefault="001D2960" w:rsidP="001D2960">
      <w:pPr>
        <w:pStyle w:val="Ttulo4"/>
        <w:jc w:val="left"/>
        <w:rPr>
          <w:lang w:eastAsia="en-US"/>
        </w:rPr>
      </w:pPr>
    </w:p>
    <w:p w:rsidR="001D2960" w:rsidRPr="00820E78" w:rsidRDefault="001D2960" w:rsidP="001D2960">
      <w:pPr>
        <w:pStyle w:val="ListParagraph1"/>
        <w:widowControl w:val="0"/>
        <w:numPr>
          <w:ilvl w:val="0"/>
          <w:numId w:val="2"/>
        </w:numPr>
        <w:tabs>
          <w:tab w:val="left" w:pos="426"/>
        </w:tabs>
        <w:autoSpaceDE w:val="0"/>
        <w:autoSpaceDN w:val="0"/>
        <w:adjustRightInd w:val="0"/>
        <w:spacing w:before="120"/>
        <w:ind w:left="426" w:hanging="426"/>
        <w:jc w:val="both"/>
        <w:rPr>
          <w:b/>
          <w:lang w:eastAsia="en-US"/>
        </w:rPr>
      </w:pPr>
      <w:r w:rsidRPr="00820E78">
        <w:rPr>
          <w:b/>
          <w:lang w:eastAsia="en-US"/>
        </w:rPr>
        <w:t xml:space="preserve">Por força do que prescreve o art. 195, I, “a”, da Constituição da República, a legislação exige que o empregador recolha contribuição sobre </w:t>
      </w:r>
      <w:r w:rsidRPr="00820E78">
        <w:rPr>
          <w:b/>
        </w:rPr>
        <w:t>a folha de salários e demais rendimentos do trabalho pagos ou creditados, a qualquer título, à pessoa física que lhe preste serviço</w:t>
      </w:r>
      <w:r w:rsidRPr="00820E78">
        <w:rPr>
          <w:b/>
          <w:lang w:eastAsia="en-US"/>
        </w:rPr>
        <w:t>. Neste contexto, pergunta-se:</w:t>
      </w:r>
    </w:p>
    <w:p w:rsidR="001D2960" w:rsidRPr="00820E78" w:rsidRDefault="001D2960" w:rsidP="001D2960">
      <w:pPr>
        <w:pStyle w:val="PargrafodaLista2"/>
        <w:widowControl w:val="0"/>
        <w:numPr>
          <w:ilvl w:val="0"/>
          <w:numId w:val="1"/>
        </w:numPr>
        <w:tabs>
          <w:tab w:val="left" w:pos="1276"/>
        </w:tabs>
        <w:autoSpaceDE w:val="0"/>
        <w:autoSpaceDN w:val="0"/>
        <w:adjustRightInd w:val="0"/>
        <w:spacing w:before="120"/>
        <w:ind w:left="1276" w:hanging="425"/>
        <w:contextualSpacing w:val="0"/>
        <w:jc w:val="both"/>
        <w:rPr>
          <w:b/>
        </w:rPr>
      </w:pPr>
      <w:r w:rsidRPr="00820E78">
        <w:rPr>
          <w:b/>
        </w:rPr>
        <w:t>O que é “salário”? E “rendimento do trabalho”?</w:t>
      </w:r>
    </w:p>
    <w:p w:rsidR="001D2960" w:rsidRDefault="001D2960" w:rsidP="001D2960">
      <w:pPr>
        <w:pStyle w:val="PargrafodaLista2"/>
        <w:widowControl w:val="0"/>
        <w:tabs>
          <w:tab w:val="left" w:pos="1276"/>
        </w:tabs>
        <w:autoSpaceDE w:val="0"/>
        <w:autoSpaceDN w:val="0"/>
        <w:adjustRightInd w:val="0"/>
        <w:spacing w:before="120"/>
        <w:ind w:left="1276"/>
        <w:jc w:val="both"/>
      </w:pPr>
      <w:r>
        <w:t>O conceito de salário é retirado da CLT – Consolidação das Leis do Trabalho. Dita o seu a</w:t>
      </w:r>
      <w:r w:rsidRPr="00820E78">
        <w:t>rt. 76</w:t>
      </w:r>
      <w:r>
        <w:t>: “</w:t>
      </w:r>
      <w:r w:rsidRPr="00820E78">
        <w:t>Salário mínimo é a contraprestação mínima devida e paga diretamente pelo empregador a todo trabalhador, inclusive ao trabalhador rural, sem distinção de sexo, por dia normal de serviço, e capaz de satisfazer, em determinada época e região do País, as suas necessidades normais de alimentação, habitação, vestuário, higiene e transporte.</w:t>
      </w:r>
      <w:r>
        <w:t>” Nesse sentir, a remuneração, por sua vez, é a composição de salário, gorjetas, gratificações legais, comissões e adicionais decorrentes da prestação de serviços, como horas extras, adicional noturno, insalubridade e periculosidade (</w:t>
      </w:r>
      <w:r w:rsidRPr="00820E78">
        <w:t>art. 457 da CLT</w:t>
      </w:r>
      <w:r>
        <w:t>).</w:t>
      </w:r>
    </w:p>
    <w:p w:rsidR="001D2960" w:rsidRDefault="001D2960" w:rsidP="001D2960">
      <w:pPr>
        <w:pStyle w:val="PargrafodaLista2"/>
        <w:widowControl w:val="0"/>
        <w:tabs>
          <w:tab w:val="left" w:pos="1276"/>
        </w:tabs>
        <w:autoSpaceDE w:val="0"/>
        <w:autoSpaceDN w:val="0"/>
        <w:adjustRightInd w:val="0"/>
        <w:spacing w:before="120"/>
        <w:ind w:left="1276"/>
        <w:jc w:val="both"/>
      </w:pPr>
      <w:r>
        <w:t>Rendimento do trabalho é termo relacionado à área fiscal, especialmente no que diz respeito a imposto de renda. O rendimento é o valor que a pessoa física recebe como renda e pode ser proveniente do trabalho ou de outras fontes. Rendimento do trabalho é o valor recebido a partir do trabalho da pessoa física.</w:t>
      </w:r>
    </w:p>
    <w:p w:rsidR="001D2960" w:rsidRPr="00820E78" w:rsidRDefault="001D2960" w:rsidP="001D2960">
      <w:pPr>
        <w:pStyle w:val="PargrafodaLista2"/>
        <w:widowControl w:val="0"/>
        <w:numPr>
          <w:ilvl w:val="0"/>
          <w:numId w:val="1"/>
        </w:numPr>
        <w:tabs>
          <w:tab w:val="left" w:pos="1276"/>
        </w:tabs>
        <w:autoSpaceDE w:val="0"/>
        <w:autoSpaceDN w:val="0"/>
        <w:adjustRightInd w:val="0"/>
        <w:spacing w:before="120"/>
        <w:ind w:left="1276" w:hanging="425"/>
        <w:contextualSpacing w:val="0"/>
        <w:jc w:val="both"/>
        <w:rPr>
          <w:b/>
        </w:rPr>
      </w:pPr>
      <w:r w:rsidRPr="00820E78">
        <w:rPr>
          <w:b/>
        </w:rPr>
        <w:t>Levando em consideração a resposta dada a questão anterior, especificar quais das parcelas abaixo estão ou não sujeitas à incidência deste tributo, justificando sua resposta:</w:t>
      </w:r>
    </w:p>
    <w:p w:rsidR="001D2960" w:rsidRPr="009E7D8F" w:rsidRDefault="001D2960" w:rsidP="001D2960">
      <w:pPr>
        <w:pStyle w:val="PargrafodaLista2"/>
        <w:widowControl w:val="0"/>
        <w:tabs>
          <w:tab w:val="left" w:pos="2268"/>
        </w:tabs>
        <w:autoSpaceDE w:val="0"/>
        <w:autoSpaceDN w:val="0"/>
        <w:adjustRightInd w:val="0"/>
        <w:spacing w:before="120"/>
        <w:ind w:left="2268" w:hanging="709"/>
        <w:jc w:val="both"/>
      </w:pPr>
      <w:r w:rsidRPr="009E7D8F">
        <w:t xml:space="preserve">(b.1) </w:t>
      </w:r>
      <w:r>
        <w:tab/>
      </w:r>
      <w:r w:rsidRPr="000F17A3">
        <w:rPr>
          <w:b/>
        </w:rPr>
        <w:t>os serviços extraordinários (horas extras) -</w:t>
      </w:r>
      <w:r w:rsidRPr="009E7D8F">
        <w:t xml:space="preserve"> </w:t>
      </w:r>
      <w:r>
        <w:t>incide (é parcela remuneratória)</w:t>
      </w:r>
    </w:p>
    <w:p w:rsidR="001D2960" w:rsidRPr="009E7D8F"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pPr>
      <w:r w:rsidRPr="009E7D8F">
        <w:t xml:space="preserve">(b.2) </w:t>
      </w:r>
      <w:r>
        <w:tab/>
      </w:r>
      <w:r w:rsidRPr="000F17A3">
        <w:rPr>
          <w:b/>
        </w:rPr>
        <w:t>terço constitucional</w:t>
      </w:r>
      <w:r>
        <w:t xml:space="preserve"> – não incide – caráter indenizatório</w:t>
      </w:r>
    </w:p>
    <w:p w:rsidR="001D2960" w:rsidRPr="009E7D8F"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pPr>
      <w:r w:rsidRPr="009E7D8F">
        <w:t xml:space="preserve">(b.3) </w:t>
      </w:r>
      <w:r>
        <w:tab/>
      </w:r>
      <w:r w:rsidRPr="000F17A3">
        <w:rPr>
          <w:b/>
        </w:rPr>
        <w:t>férias indenizadas</w:t>
      </w:r>
      <w:r>
        <w:t xml:space="preserve"> – não incide – art. 28, § 9º, d, Lei 8.212/91</w:t>
      </w:r>
    </w:p>
    <w:p w:rsidR="001D2960" w:rsidRPr="009E7D8F"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pPr>
      <w:r w:rsidRPr="009E7D8F">
        <w:t xml:space="preserve">(b.4) </w:t>
      </w:r>
      <w:r>
        <w:tab/>
      </w:r>
      <w:r w:rsidRPr="000F17A3">
        <w:rPr>
          <w:b/>
        </w:rPr>
        <w:t>aviso prévio indenizado</w:t>
      </w:r>
      <w:r>
        <w:t xml:space="preserve"> – não incide – caráter indenizatório</w:t>
      </w:r>
    </w:p>
    <w:p w:rsidR="001D2960" w:rsidRPr="000F17A3"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rPr>
          <w:b/>
        </w:rPr>
      </w:pPr>
      <w:r w:rsidRPr="009E7D8F">
        <w:t xml:space="preserve">(b.5) </w:t>
      </w:r>
      <w:r>
        <w:tab/>
      </w:r>
      <w:r w:rsidRPr="000F17A3">
        <w:rPr>
          <w:b/>
        </w:rPr>
        <w:t>adicional de insalubridade</w:t>
      </w:r>
      <w:r>
        <w:rPr>
          <w:b/>
        </w:rPr>
        <w:t xml:space="preserve"> –</w:t>
      </w:r>
      <w:r>
        <w:t>incide – caráter remuneratório</w:t>
      </w:r>
    </w:p>
    <w:p w:rsidR="001D2960" w:rsidRPr="009E7D8F"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pPr>
      <w:r w:rsidRPr="009E7D8F">
        <w:t xml:space="preserve">(b.6) </w:t>
      </w:r>
      <w:r>
        <w:tab/>
      </w:r>
      <w:r w:rsidRPr="000F17A3">
        <w:rPr>
          <w:b/>
        </w:rPr>
        <w:t>adicional de periculosidade</w:t>
      </w:r>
      <w:r>
        <w:rPr>
          <w:b/>
        </w:rPr>
        <w:t xml:space="preserve"> – </w:t>
      </w:r>
      <w:r>
        <w:t>incide – caráter remuneratório</w:t>
      </w:r>
    </w:p>
    <w:p w:rsidR="001D2960" w:rsidRPr="009E7D8F"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pPr>
      <w:r w:rsidRPr="009E7D8F">
        <w:t xml:space="preserve">(b.7) </w:t>
      </w:r>
      <w:r>
        <w:tab/>
      </w:r>
      <w:r w:rsidRPr="00147DFA">
        <w:rPr>
          <w:b/>
        </w:rPr>
        <w:t>adicional noturno</w:t>
      </w:r>
      <w:r>
        <w:t xml:space="preserve"> </w:t>
      </w:r>
      <w:r>
        <w:rPr>
          <w:b/>
        </w:rPr>
        <w:t>–</w:t>
      </w:r>
      <w:r w:rsidRPr="009E7D8F">
        <w:t xml:space="preserve"> </w:t>
      </w:r>
      <w:r>
        <w:t>incide – caráter remuneratório</w:t>
      </w:r>
    </w:p>
    <w:p w:rsidR="001D2960" w:rsidRPr="009E7D8F"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pPr>
      <w:r w:rsidRPr="009E7D8F">
        <w:t xml:space="preserve">(b.8) </w:t>
      </w:r>
      <w:r>
        <w:tab/>
      </w:r>
      <w:r w:rsidRPr="00147DFA">
        <w:rPr>
          <w:b/>
        </w:rPr>
        <w:t xml:space="preserve">auxílio-educação </w:t>
      </w:r>
      <w:r>
        <w:rPr>
          <w:b/>
        </w:rPr>
        <w:t>–</w:t>
      </w:r>
      <w:r w:rsidRPr="009E7D8F">
        <w:t xml:space="preserve"> </w:t>
      </w:r>
      <w:r>
        <w:t>não incide – caráter indenizatório</w:t>
      </w:r>
    </w:p>
    <w:p w:rsidR="001D2960" w:rsidRPr="009E7D8F"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pPr>
      <w:r w:rsidRPr="009E7D8F">
        <w:t xml:space="preserve">(b.9) </w:t>
      </w:r>
      <w:r>
        <w:tab/>
      </w:r>
      <w:r w:rsidRPr="00147DFA">
        <w:rPr>
          <w:b/>
        </w:rPr>
        <w:t>auxílio-creche</w:t>
      </w:r>
      <w:r>
        <w:t xml:space="preserve"> </w:t>
      </w:r>
      <w:r>
        <w:rPr>
          <w:b/>
        </w:rPr>
        <w:t>–</w:t>
      </w:r>
      <w:r w:rsidRPr="009E7D8F">
        <w:t xml:space="preserve"> </w:t>
      </w:r>
      <w:r>
        <w:t>não incide – Lei 8.212/91</w:t>
      </w:r>
    </w:p>
    <w:p w:rsidR="001D2960" w:rsidRPr="009E7D8F"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pPr>
      <w:r w:rsidRPr="009E7D8F">
        <w:t>(b.10)</w:t>
      </w:r>
      <w:r>
        <w:tab/>
      </w:r>
      <w:r w:rsidRPr="00147DFA">
        <w:rPr>
          <w:b/>
        </w:rPr>
        <w:t>auxílio-doença</w:t>
      </w:r>
      <w:r>
        <w:rPr>
          <w:b/>
        </w:rPr>
        <w:t xml:space="preserve"> –</w:t>
      </w:r>
      <w:r w:rsidRPr="009E7D8F">
        <w:t xml:space="preserve"> </w:t>
      </w:r>
      <w:r>
        <w:t>não incide – não é contraprestação</w:t>
      </w:r>
    </w:p>
    <w:p w:rsidR="001D2960" w:rsidRPr="009E7D8F"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pPr>
      <w:r w:rsidRPr="009E7D8F">
        <w:t xml:space="preserve">(b.11) </w:t>
      </w:r>
      <w:r>
        <w:tab/>
      </w:r>
      <w:r w:rsidRPr="00147DFA">
        <w:rPr>
          <w:b/>
        </w:rPr>
        <w:t>salário maternidade</w:t>
      </w:r>
      <w:r>
        <w:t xml:space="preserve"> </w:t>
      </w:r>
      <w:r>
        <w:rPr>
          <w:b/>
        </w:rPr>
        <w:t>–</w:t>
      </w:r>
      <w:r w:rsidRPr="009E7D8F">
        <w:t xml:space="preserve"> </w:t>
      </w:r>
      <w:r>
        <w:t xml:space="preserve">não incide – </w:t>
      </w:r>
      <w:r w:rsidRPr="00147DFA">
        <w:t>art. 28, §2°, d</w:t>
      </w:r>
      <w:r>
        <w:t>,</w:t>
      </w:r>
      <w:r w:rsidRPr="00147DFA">
        <w:t xml:space="preserve"> Lei 8.212/91</w:t>
      </w:r>
    </w:p>
    <w:p w:rsidR="001D2960" w:rsidRPr="009E7D8F"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pPr>
      <w:r w:rsidRPr="009E7D8F">
        <w:lastRenderedPageBreak/>
        <w:t xml:space="preserve">(b.12) </w:t>
      </w:r>
      <w:r>
        <w:tab/>
      </w:r>
      <w:r w:rsidRPr="00147DFA">
        <w:rPr>
          <w:b/>
        </w:rPr>
        <w:t>prêmio assiduidade</w:t>
      </w:r>
      <w:r>
        <w:rPr>
          <w:b/>
        </w:rPr>
        <w:t xml:space="preserve"> –</w:t>
      </w:r>
      <w:r w:rsidRPr="009E7D8F">
        <w:t xml:space="preserve"> </w:t>
      </w:r>
      <w:r>
        <w:t xml:space="preserve">não incide – é eventual, não integra a base da remuneração, não integra salário </w:t>
      </w:r>
      <w:r w:rsidRPr="00147DFA">
        <w:t>(art. 28, par. 9º., “e”, “7”, da Lei 8212/91)</w:t>
      </w:r>
    </w:p>
    <w:p w:rsidR="001D2960" w:rsidRPr="009E7D8F"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pPr>
      <w:r w:rsidRPr="009E7D8F">
        <w:t xml:space="preserve">(b.13) </w:t>
      </w:r>
      <w:r>
        <w:tab/>
      </w:r>
      <w:r w:rsidRPr="00147DFA">
        <w:rPr>
          <w:b/>
        </w:rPr>
        <w:t>vale transporte</w:t>
      </w:r>
      <w:r>
        <w:t xml:space="preserve"> </w:t>
      </w:r>
      <w:r>
        <w:rPr>
          <w:b/>
        </w:rPr>
        <w:t>–</w:t>
      </w:r>
      <w:r w:rsidRPr="009E7D8F">
        <w:t xml:space="preserve"> </w:t>
      </w:r>
      <w:r>
        <w:t>não incide – natureza indenizatória</w:t>
      </w:r>
    </w:p>
    <w:p w:rsidR="001D2960" w:rsidRPr="009E7D8F" w:rsidRDefault="001D2960" w:rsidP="001D2960">
      <w:pPr>
        <w:pStyle w:val="PargrafodaLista2"/>
        <w:tabs>
          <w:tab w:val="left" w:pos="916"/>
          <w:tab w:val="left" w:pos="1832"/>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2268" w:hanging="709"/>
        <w:contextualSpacing w:val="0"/>
        <w:jc w:val="both"/>
      </w:pPr>
      <w:r w:rsidRPr="009E7D8F">
        <w:t xml:space="preserve">(b.14) </w:t>
      </w:r>
      <w:r>
        <w:tab/>
      </w:r>
      <w:r w:rsidRPr="00147DFA">
        <w:rPr>
          <w:b/>
        </w:rPr>
        <w:t>descanso remunerado</w:t>
      </w:r>
      <w:r>
        <w:rPr>
          <w:b/>
        </w:rPr>
        <w:t xml:space="preserve"> –</w:t>
      </w:r>
      <w:r>
        <w:t>incide – natureza remuneratória</w:t>
      </w:r>
    </w:p>
    <w:p w:rsidR="001D2960"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szCs w:val="24"/>
          <w:lang w:eastAsia="en-US"/>
        </w:rPr>
      </w:pPr>
    </w:p>
    <w:p w:rsidR="001D2960" w:rsidRPr="00045722"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szCs w:val="24"/>
          <w:lang w:eastAsia="en-US"/>
        </w:rPr>
      </w:pPr>
    </w:p>
    <w:p w:rsidR="001D2960" w:rsidRPr="00147DFA" w:rsidRDefault="001D2960" w:rsidP="001D2960">
      <w:pPr>
        <w:pStyle w:val="ListParagraph1"/>
        <w:widowControl w:val="0"/>
        <w:numPr>
          <w:ilvl w:val="0"/>
          <w:numId w:val="2"/>
        </w:numPr>
        <w:tabs>
          <w:tab w:val="left" w:pos="426"/>
        </w:tabs>
        <w:autoSpaceDE w:val="0"/>
        <w:autoSpaceDN w:val="0"/>
        <w:adjustRightInd w:val="0"/>
        <w:spacing w:before="120"/>
        <w:ind w:left="426" w:hanging="426"/>
        <w:jc w:val="both"/>
        <w:rPr>
          <w:b/>
          <w:lang w:eastAsia="en-US"/>
        </w:rPr>
      </w:pPr>
      <w:r w:rsidRPr="00147DFA">
        <w:rPr>
          <w:b/>
          <w:lang w:eastAsia="en-US"/>
        </w:rPr>
        <w:t xml:space="preserve">O STJ, no julgamento do </w:t>
      </w:r>
      <w:proofErr w:type="spellStart"/>
      <w:r w:rsidRPr="00147DFA">
        <w:rPr>
          <w:b/>
          <w:lang w:eastAsia="en-US"/>
        </w:rPr>
        <w:t>REsp</w:t>
      </w:r>
      <w:proofErr w:type="spellEnd"/>
      <w:r w:rsidRPr="00147DFA">
        <w:rPr>
          <w:b/>
          <w:lang w:eastAsia="en-US"/>
        </w:rPr>
        <w:t xml:space="preserve"> 1.221.170/PR, reconheceu a ilegalidade das </w:t>
      </w:r>
      <w:proofErr w:type="spellStart"/>
      <w:r w:rsidRPr="00147DFA">
        <w:rPr>
          <w:b/>
          <w:lang w:eastAsia="en-US"/>
        </w:rPr>
        <w:t>IN’s</w:t>
      </w:r>
      <w:proofErr w:type="spellEnd"/>
      <w:r w:rsidRPr="00147DFA">
        <w:rPr>
          <w:b/>
          <w:lang w:eastAsia="en-US"/>
        </w:rPr>
        <w:t xml:space="preserve"> RFB nº 247/02 e 404/04, decidindo haver um conceito mais amplo de “insumos” para fins de aproveitamento de créditos de PIS e COFINS, que deve ser aferido considerando a essencialidade ou relevância do item, bem ou serviço para o desenvolvimento da atividade econômica do contribuinte.  </w:t>
      </w:r>
    </w:p>
    <w:p w:rsidR="001D2960" w:rsidRPr="00147DFA" w:rsidRDefault="001D2960" w:rsidP="001D2960">
      <w:pPr>
        <w:pStyle w:val="ListParagraph1"/>
        <w:widowControl w:val="0"/>
        <w:tabs>
          <w:tab w:val="left" w:pos="851"/>
        </w:tabs>
        <w:autoSpaceDE w:val="0"/>
        <w:autoSpaceDN w:val="0"/>
        <w:adjustRightInd w:val="0"/>
        <w:spacing w:before="120"/>
        <w:ind w:left="425"/>
        <w:contextualSpacing w:val="0"/>
        <w:jc w:val="both"/>
        <w:rPr>
          <w:b/>
          <w:lang w:eastAsia="en-US"/>
        </w:rPr>
      </w:pPr>
      <w:r w:rsidRPr="00147DFA">
        <w:rPr>
          <w:b/>
          <w:lang w:eastAsia="en-US"/>
        </w:rPr>
        <w:t>Pergunta-se: empresa industrial produtora de pães e bolos faz jus ao aproveitamento de créditos de PIS e COFINS quanto a: (i) despesas com limpeza e dedetização; (</w:t>
      </w:r>
      <w:proofErr w:type="spellStart"/>
      <w:r w:rsidRPr="00147DFA">
        <w:rPr>
          <w:b/>
          <w:lang w:eastAsia="en-US"/>
        </w:rPr>
        <w:t>ii</w:t>
      </w:r>
      <w:proofErr w:type="spellEnd"/>
      <w:r w:rsidRPr="00147DFA">
        <w:rPr>
          <w:b/>
          <w:lang w:eastAsia="en-US"/>
        </w:rPr>
        <w:t>) material de embalagem; (</w:t>
      </w:r>
      <w:proofErr w:type="spellStart"/>
      <w:r w:rsidRPr="00147DFA">
        <w:rPr>
          <w:b/>
          <w:lang w:eastAsia="en-US"/>
        </w:rPr>
        <w:t>iii</w:t>
      </w:r>
      <w:proofErr w:type="spellEnd"/>
      <w:r w:rsidRPr="00147DFA">
        <w:rPr>
          <w:b/>
          <w:lang w:eastAsia="en-US"/>
        </w:rPr>
        <w:t>) designe gráfico relativo ao material de embalagem; (</w:t>
      </w:r>
      <w:proofErr w:type="spellStart"/>
      <w:r w:rsidRPr="00147DFA">
        <w:rPr>
          <w:b/>
          <w:lang w:eastAsia="en-US"/>
        </w:rPr>
        <w:t>iv</w:t>
      </w:r>
      <w:proofErr w:type="spellEnd"/>
      <w:r w:rsidRPr="00147DFA">
        <w:rPr>
          <w:b/>
          <w:lang w:eastAsia="en-US"/>
        </w:rPr>
        <w:t>) despesas com marketing? Justificar.</w:t>
      </w:r>
    </w:p>
    <w:p w:rsidR="001D2960"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szCs w:val="24"/>
          <w:lang w:eastAsia="en-US"/>
        </w:rPr>
      </w:pPr>
    </w:p>
    <w:p w:rsidR="001D2960"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szCs w:val="24"/>
          <w:lang w:eastAsia="en-US"/>
        </w:rPr>
      </w:pPr>
    </w:p>
    <w:p w:rsidR="001D2960"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en-US"/>
        </w:rPr>
      </w:pPr>
      <w:r>
        <w:rPr>
          <w:sz w:val="24"/>
          <w:szCs w:val="24"/>
          <w:lang w:eastAsia="en-US"/>
        </w:rPr>
        <w:t xml:space="preserve">Analisando </w:t>
      </w:r>
      <w:r w:rsidRPr="00147DFA">
        <w:rPr>
          <w:sz w:val="24"/>
          <w:szCs w:val="24"/>
          <w:lang w:eastAsia="en-US"/>
        </w:rPr>
        <w:t>o termo "insumo", conforme estabelecido no art. 3º das Leis 10.637/02 e</w:t>
      </w:r>
      <w:r>
        <w:rPr>
          <w:sz w:val="24"/>
          <w:szCs w:val="24"/>
          <w:lang w:eastAsia="en-US"/>
        </w:rPr>
        <w:t xml:space="preserve"> </w:t>
      </w:r>
      <w:r w:rsidRPr="00147DFA">
        <w:rPr>
          <w:sz w:val="24"/>
          <w:szCs w:val="24"/>
          <w:lang w:eastAsia="en-US"/>
        </w:rPr>
        <w:t>10.833/03</w:t>
      </w:r>
      <w:r>
        <w:rPr>
          <w:sz w:val="24"/>
          <w:szCs w:val="24"/>
          <w:lang w:eastAsia="en-US"/>
        </w:rPr>
        <w:t xml:space="preserve">, </w:t>
      </w:r>
      <w:r w:rsidRPr="00147DFA">
        <w:rPr>
          <w:sz w:val="24"/>
          <w:szCs w:val="24"/>
          <w:lang w:eastAsia="en-US"/>
        </w:rPr>
        <w:t xml:space="preserve">a pessoa jurídica tem o direito de creditar-se de PIS e COFINS em relação a "bens e serviços utilizados como insumo na prestação de serviços e na produção ou fabricação de bens ou produtos destinados à venda". </w:t>
      </w:r>
    </w:p>
    <w:p w:rsidR="001D2960"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en-US"/>
        </w:rPr>
      </w:pPr>
      <w:r w:rsidRPr="00147DFA">
        <w:rPr>
          <w:sz w:val="24"/>
          <w:szCs w:val="24"/>
          <w:lang w:eastAsia="en-US"/>
        </w:rPr>
        <w:t xml:space="preserve">Então, para efeitos de </w:t>
      </w:r>
      <w:proofErr w:type="spellStart"/>
      <w:r w:rsidRPr="00147DFA">
        <w:rPr>
          <w:sz w:val="24"/>
          <w:szCs w:val="24"/>
          <w:lang w:eastAsia="en-US"/>
        </w:rPr>
        <w:t>creditamento</w:t>
      </w:r>
      <w:proofErr w:type="spellEnd"/>
      <w:r>
        <w:rPr>
          <w:sz w:val="24"/>
          <w:szCs w:val="24"/>
          <w:lang w:eastAsia="en-US"/>
        </w:rPr>
        <w:t xml:space="preserve">, </w:t>
      </w:r>
      <w:r w:rsidRPr="00147DFA">
        <w:rPr>
          <w:sz w:val="24"/>
          <w:szCs w:val="24"/>
          <w:lang w:eastAsia="en-US"/>
        </w:rPr>
        <w:t>a definição de insumo</w:t>
      </w:r>
      <w:r>
        <w:rPr>
          <w:sz w:val="24"/>
          <w:szCs w:val="24"/>
          <w:lang w:eastAsia="en-US"/>
        </w:rPr>
        <w:t xml:space="preserve"> parte do entendimento da</w:t>
      </w:r>
      <w:r w:rsidRPr="00147DFA">
        <w:rPr>
          <w:sz w:val="24"/>
          <w:szCs w:val="24"/>
          <w:lang w:eastAsia="en-US"/>
        </w:rPr>
        <w:t xml:space="preserve"> Receita Federal do Brasil (RFB)</w:t>
      </w:r>
      <w:r>
        <w:rPr>
          <w:sz w:val="24"/>
          <w:szCs w:val="24"/>
          <w:lang w:eastAsia="en-US"/>
        </w:rPr>
        <w:t>,</w:t>
      </w:r>
      <w:r w:rsidRPr="00147DFA">
        <w:rPr>
          <w:sz w:val="24"/>
          <w:szCs w:val="24"/>
          <w:lang w:eastAsia="en-US"/>
        </w:rPr>
        <w:t xml:space="preserve"> </w:t>
      </w:r>
      <w:r>
        <w:rPr>
          <w:sz w:val="24"/>
          <w:szCs w:val="24"/>
          <w:lang w:eastAsia="en-US"/>
        </w:rPr>
        <w:t xml:space="preserve">que </w:t>
      </w:r>
      <w:r w:rsidRPr="00147DFA">
        <w:rPr>
          <w:sz w:val="24"/>
          <w:szCs w:val="24"/>
          <w:lang w:eastAsia="en-US"/>
        </w:rPr>
        <w:t xml:space="preserve">restringiu o significado do termo "insumo" </w:t>
      </w:r>
      <w:r>
        <w:rPr>
          <w:sz w:val="24"/>
          <w:szCs w:val="24"/>
          <w:lang w:eastAsia="en-US"/>
        </w:rPr>
        <w:t xml:space="preserve">por </w:t>
      </w:r>
      <w:proofErr w:type="gramStart"/>
      <w:r>
        <w:rPr>
          <w:sz w:val="24"/>
          <w:szCs w:val="24"/>
          <w:lang w:eastAsia="en-US"/>
        </w:rPr>
        <w:t xml:space="preserve">meio </w:t>
      </w:r>
      <w:r w:rsidRPr="00147DFA">
        <w:rPr>
          <w:sz w:val="24"/>
          <w:szCs w:val="24"/>
          <w:lang w:eastAsia="en-US"/>
        </w:rPr>
        <w:t xml:space="preserve"> d</w:t>
      </w:r>
      <w:r>
        <w:rPr>
          <w:sz w:val="24"/>
          <w:szCs w:val="24"/>
          <w:lang w:eastAsia="en-US"/>
        </w:rPr>
        <w:t>e</w:t>
      </w:r>
      <w:proofErr w:type="gramEnd"/>
      <w:r w:rsidRPr="00147DFA">
        <w:rPr>
          <w:sz w:val="24"/>
          <w:szCs w:val="24"/>
          <w:lang w:eastAsia="en-US"/>
        </w:rPr>
        <w:t xml:space="preserve"> Instruções Normativas</w:t>
      </w:r>
      <w:r>
        <w:rPr>
          <w:sz w:val="24"/>
          <w:szCs w:val="24"/>
          <w:lang w:eastAsia="en-US"/>
        </w:rPr>
        <w:t xml:space="preserve">. Embora a ilegalidade dessas </w:t>
      </w:r>
      <w:proofErr w:type="spellStart"/>
      <w:r>
        <w:rPr>
          <w:sz w:val="24"/>
          <w:szCs w:val="24"/>
          <w:lang w:eastAsia="en-US"/>
        </w:rPr>
        <w:t>IN’s</w:t>
      </w:r>
      <w:proofErr w:type="spellEnd"/>
      <w:r>
        <w:rPr>
          <w:sz w:val="24"/>
          <w:szCs w:val="24"/>
          <w:lang w:eastAsia="en-US"/>
        </w:rPr>
        <w:t xml:space="preserve"> tenha sido </w:t>
      </w:r>
      <w:r w:rsidRPr="00147DFA">
        <w:rPr>
          <w:sz w:val="24"/>
          <w:szCs w:val="24"/>
          <w:lang w:eastAsia="en-US"/>
        </w:rPr>
        <w:t>reconhecida, o entendimento era de que, no que diz respeito à fabricação ou produção de bens destinados à venda, insumos seriam "as matérias-primas", os produtos intermediários, o material de embalagem e quaisquer outros bens que sofressem alterações, tais como desgaste, dano ou perda de propriedades físicas ou químicas, em função da ação diretamente exercida sobre o produto em fabricação, ou seja, exigia-se a incorporação ou transformação do bem.</w:t>
      </w:r>
    </w:p>
    <w:p w:rsidR="001D2960"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en-US"/>
        </w:rPr>
      </w:pPr>
      <w:r>
        <w:rPr>
          <w:sz w:val="24"/>
          <w:szCs w:val="24"/>
          <w:lang w:eastAsia="en-US"/>
        </w:rPr>
        <w:t>N</w:t>
      </w:r>
      <w:r w:rsidRPr="00147DFA">
        <w:rPr>
          <w:sz w:val="24"/>
          <w:szCs w:val="24"/>
          <w:lang w:eastAsia="en-US"/>
        </w:rPr>
        <w:t xml:space="preserve">ão </w:t>
      </w:r>
      <w:r>
        <w:rPr>
          <w:sz w:val="24"/>
          <w:szCs w:val="24"/>
          <w:lang w:eastAsia="en-US"/>
        </w:rPr>
        <w:t xml:space="preserve">se pode aplicar </w:t>
      </w:r>
      <w:proofErr w:type="gramStart"/>
      <w:r w:rsidRPr="00147DFA">
        <w:rPr>
          <w:sz w:val="24"/>
          <w:szCs w:val="24"/>
          <w:lang w:eastAsia="en-US"/>
        </w:rPr>
        <w:t>as  mesmas</w:t>
      </w:r>
      <w:proofErr w:type="gramEnd"/>
      <w:r w:rsidRPr="00147DFA">
        <w:rPr>
          <w:sz w:val="24"/>
          <w:szCs w:val="24"/>
          <w:lang w:eastAsia="en-US"/>
        </w:rPr>
        <w:t xml:space="preserve"> regras  previstas  </w:t>
      </w:r>
      <w:r>
        <w:rPr>
          <w:sz w:val="24"/>
          <w:szCs w:val="24"/>
          <w:lang w:eastAsia="en-US"/>
        </w:rPr>
        <w:t>em</w:t>
      </w:r>
      <w:r w:rsidRPr="00147DFA">
        <w:rPr>
          <w:sz w:val="24"/>
          <w:szCs w:val="24"/>
          <w:lang w:eastAsia="en-US"/>
        </w:rPr>
        <w:t xml:space="preserve">  ICMS  e  IPI  para  o  caso  d</w:t>
      </w:r>
      <w:r>
        <w:rPr>
          <w:sz w:val="24"/>
          <w:szCs w:val="24"/>
          <w:lang w:eastAsia="en-US"/>
        </w:rPr>
        <w:t>e</w:t>
      </w:r>
      <w:r w:rsidRPr="00147DFA">
        <w:rPr>
          <w:sz w:val="24"/>
          <w:szCs w:val="24"/>
          <w:lang w:eastAsia="en-US"/>
        </w:rPr>
        <w:t xml:space="preserve">  PIS  e  COFINS, </w:t>
      </w:r>
      <w:r>
        <w:rPr>
          <w:sz w:val="24"/>
          <w:szCs w:val="24"/>
          <w:lang w:eastAsia="en-US"/>
        </w:rPr>
        <w:t xml:space="preserve">já </w:t>
      </w:r>
      <w:r w:rsidRPr="00147DFA">
        <w:rPr>
          <w:sz w:val="24"/>
          <w:szCs w:val="24"/>
          <w:lang w:eastAsia="en-US"/>
        </w:rPr>
        <w:t xml:space="preserve">que </w:t>
      </w:r>
      <w:r>
        <w:rPr>
          <w:sz w:val="24"/>
          <w:szCs w:val="24"/>
          <w:lang w:eastAsia="en-US"/>
        </w:rPr>
        <w:t xml:space="preserve">incide </w:t>
      </w:r>
      <w:r w:rsidRPr="00147DFA">
        <w:rPr>
          <w:sz w:val="24"/>
          <w:szCs w:val="24"/>
          <w:lang w:eastAsia="en-US"/>
        </w:rPr>
        <w:t>sobre as receitas auferidas</w:t>
      </w:r>
      <w:r>
        <w:rPr>
          <w:sz w:val="24"/>
          <w:szCs w:val="24"/>
          <w:lang w:eastAsia="en-US"/>
        </w:rPr>
        <w:t>, e não sobre</w:t>
      </w:r>
      <w:r w:rsidRPr="00147DFA">
        <w:rPr>
          <w:sz w:val="24"/>
          <w:szCs w:val="24"/>
          <w:lang w:eastAsia="en-US"/>
        </w:rPr>
        <w:t xml:space="preserve"> circulação de bens ou industrialização</w:t>
      </w:r>
      <w:r>
        <w:rPr>
          <w:sz w:val="24"/>
          <w:szCs w:val="24"/>
          <w:lang w:eastAsia="en-US"/>
        </w:rPr>
        <w:t>.</w:t>
      </w:r>
    </w:p>
    <w:p w:rsidR="001D2960" w:rsidRPr="0001694B"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en-US"/>
        </w:rPr>
      </w:pPr>
      <w:r w:rsidRPr="0001694B">
        <w:rPr>
          <w:sz w:val="24"/>
          <w:szCs w:val="24"/>
          <w:lang w:eastAsia="en-US"/>
        </w:rPr>
        <w:t>Desta forma, insumo deve ser compreendido como todos os custos relacionados à produção e comercialização de mercadorias ou à prestação de serviços, abrangendo as matérias-primas, os bens que fisicamente integram o produto; mão de obra, caracterizada pelas atividades executadas no processo produtivo, na comercialização ou na prestação de serviços; e, por fim, gastos gerais, como os custos indiretos da produção ou do serviço. Assim, temos que:</w:t>
      </w:r>
    </w:p>
    <w:p w:rsidR="001D2960" w:rsidRPr="0001694B"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en-US"/>
        </w:rPr>
      </w:pPr>
    </w:p>
    <w:p w:rsidR="001D2960" w:rsidRPr="0001694B"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en-US"/>
        </w:rPr>
      </w:pPr>
      <w:r w:rsidRPr="0001694B">
        <w:rPr>
          <w:sz w:val="24"/>
          <w:szCs w:val="24"/>
          <w:lang w:eastAsia="en-US"/>
        </w:rPr>
        <w:t>(i) Despesas com limpeza e dedetização seriam consideradas insumo, pois fazem parte da manutenção necessária para a produção e comercialização das mercadorias.</w:t>
      </w:r>
    </w:p>
    <w:p w:rsidR="001D2960" w:rsidRPr="0001694B"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en-US"/>
        </w:rPr>
      </w:pPr>
      <w:r w:rsidRPr="0001694B">
        <w:rPr>
          <w:sz w:val="24"/>
          <w:szCs w:val="24"/>
          <w:lang w:eastAsia="en-US"/>
        </w:rPr>
        <w:t>(</w:t>
      </w:r>
      <w:proofErr w:type="spellStart"/>
      <w:r w:rsidRPr="0001694B">
        <w:rPr>
          <w:sz w:val="24"/>
          <w:szCs w:val="24"/>
          <w:lang w:eastAsia="en-US"/>
        </w:rPr>
        <w:t>ii</w:t>
      </w:r>
      <w:proofErr w:type="spellEnd"/>
      <w:r w:rsidRPr="0001694B">
        <w:rPr>
          <w:sz w:val="24"/>
          <w:szCs w:val="24"/>
          <w:lang w:eastAsia="en-US"/>
        </w:rPr>
        <w:t>) Material de embalagem seria insumo, pois é essencial para a comercialização.</w:t>
      </w:r>
    </w:p>
    <w:p w:rsidR="001D2960" w:rsidRPr="0001694B"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en-US"/>
        </w:rPr>
      </w:pPr>
      <w:r w:rsidRPr="0001694B">
        <w:rPr>
          <w:sz w:val="24"/>
          <w:szCs w:val="24"/>
          <w:lang w:eastAsia="en-US"/>
        </w:rPr>
        <w:t>(</w:t>
      </w:r>
      <w:proofErr w:type="spellStart"/>
      <w:r w:rsidRPr="0001694B">
        <w:rPr>
          <w:sz w:val="24"/>
          <w:szCs w:val="24"/>
          <w:lang w:eastAsia="en-US"/>
        </w:rPr>
        <w:t>iii</w:t>
      </w:r>
      <w:proofErr w:type="spellEnd"/>
      <w:r w:rsidRPr="0001694B">
        <w:rPr>
          <w:sz w:val="24"/>
          <w:szCs w:val="24"/>
          <w:lang w:eastAsia="en-US"/>
        </w:rPr>
        <w:t>) Design gráfico relativo ao material de embalagem também seria insumo, pois o material utilizado já é considerado insumo, e o design faz parte dele.</w:t>
      </w:r>
    </w:p>
    <w:p w:rsidR="001D2960" w:rsidRPr="0001694B"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en-US"/>
        </w:rPr>
      </w:pPr>
      <w:r w:rsidRPr="0001694B">
        <w:rPr>
          <w:sz w:val="24"/>
          <w:szCs w:val="24"/>
          <w:lang w:eastAsia="en-US"/>
        </w:rPr>
        <w:t>(</w:t>
      </w:r>
      <w:proofErr w:type="spellStart"/>
      <w:r w:rsidRPr="0001694B">
        <w:rPr>
          <w:sz w:val="24"/>
          <w:szCs w:val="24"/>
          <w:lang w:eastAsia="en-US"/>
        </w:rPr>
        <w:t>iv</w:t>
      </w:r>
      <w:proofErr w:type="spellEnd"/>
      <w:r w:rsidRPr="0001694B">
        <w:rPr>
          <w:sz w:val="24"/>
          <w:szCs w:val="24"/>
          <w:lang w:eastAsia="en-US"/>
        </w:rPr>
        <w:t>) Despesas com marketing devem ser consideradas insumo, pois envolvem a promoção da marca com o objetivo de aumentar as vendas dos produtos, conforme decisão do CARF.</w:t>
      </w:r>
    </w:p>
    <w:p w:rsidR="001D2960" w:rsidRPr="0001694B"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en-US"/>
        </w:rPr>
      </w:pPr>
    </w:p>
    <w:p w:rsidR="001D2960" w:rsidRPr="00147DFA"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en-US"/>
        </w:rPr>
      </w:pPr>
      <w:r>
        <w:rPr>
          <w:sz w:val="24"/>
          <w:szCs w:val="24"/>
          <w:lang w:eastAsia="en-US"/>
        </w:rPr>
        <w:t>Logo</w:t>
      </w:r>
      <w:r w:rsidRPr="0001694B">
        <w:rPr>
          <w:sz w:val="24"/>
          <w:szCs w:val="24"/>
          <w:lang w:eastAsia="en-US"/>
        </w:rPr>
        <w:t>, "insumos", dentro do contexto do regime de apuração da contribuição ao PIS e da COFINS, consistem no conjunto de fatores necessários para o desempenho de determinada atividade empresarial, seja na produção, na comercialização de bens ou na prestação de serviços, sendo autorizado, por determinação legal expressa, o abatimento de créditos relativos a eles.</w:t>
      </w:r>
    </w:p>
    <w:p w:rsidR="001D2960"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szCs w:val="24"/>
          <w:lang w:eastAsia="en-US"/>
        </w:rPr>
      </w:pPr>
    </w:p>
    <w:p w:rsidR="001D2960" w:rsidRDefault="001D2960" w:rsidP="001D2960">
      <w:pPr>
        <w:pStyle w:val="ListParagraph1"/>
        <w:widowControl w:val="0"/>
        <w:numPr>
          <w:ilvl w:val="0"/>
          <w:numId w:val="2"/>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426" w:hanging="426"/>
        <w:jc w:val="both"/>
        <w:rPr>
          <w:b/>
        </w:rPr>
      </w:pPr>
      <w:r w:rsidRPr="00147DFA">
        <w:rPr>
          <w:b/>
          <w:lang w:eastAsia="en-US"/>
        </w:rPr>
        <w:t xml:space="preserve">Diante do que foi decidido pelo STJ no </w:t>
      </w:r>
      <w:hyperlink r:id="rId5" w:history="1">
        <w:proofErr w:type="spellStart"/>
        <w:r w:rsidRPr="00147DFA">
          <w:rPr>
            <w:rStyle w:val="Hyperlink"/>
            <w:b/>
            <w:lang w:eastAsia="en-US"/>
          </w:rPr>
          <w:t>AgRg</w:t>
        </w:r>
        <w:proofErr w:type="spellEnd"/>
        <w:r w:rsidRPr="00147DFA">
          <w:rPr>
            <w:rStyle w:val="Hyperlink"/>
            <w:b/>
            <w:lang w:eastAsia="en-US"/>
          </w:rPr>
          <w:t xml:space="preserve"> no </w:t>
        </w:r>
        <w:proofErr w:type="spellStart"/>
        <w:r w:rsidRPr="00147DFA">
          <w:rPr>
            <w:rStyle w:val="Hyperlink"/>
            <w:b/>
            <w:lang w:eastAsia="en-US"/>
          </w:rPr>
          <w:t>REsp</w:t>
        </w:r>
        <w:proofErr w:type="spellEnd"/>
        <w:r w:rsidRPr="00147DFA">
          <w:rPr>
            <w:rStyle w:val="Hyperlink"/>
            <w:b/>
            <w:lang w:eastAsia="en-US"/>
          </w:rPr>
          <w:t xml:space="preserve"> 1.051.634</w:t>
        </w:r>
      </w:hyperlink>
      <w:r w:rsidRPr="00147DFA">
        <w:rPr>
          <w:b/>
          <w:lang w:eastAsia="en-US"/>
        </w:rPr>
        <w:t>, pergunta-se: pessoa jurídica que desempenhe atividade cuja receita submete-se ao regime de tributação monofásico tem direito ao aproveitamento de créditos de PIS e COFINS? Em caso afirmativo, em que hipóteses e quais as limitações envolvidas? Justificar.</w:t>
      </w:r>
      <w:r w:rsidRPr="00147DFA">
        <w:rPr>
          <w:b/>
        </w:rPr>
        <w:t xml:space="preserve"> </w:t>
      </w:r>
    </w:p>
    <w:p w:rsidR="001D2960" w:rsidRDefault="001D2960" w:rsidP="001D2960">
      <w:pPr>
        <w:pStyle w:val="ListParagraph1"/>
        <w:widowControl w:val="0"/>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0"/>
        <w:jc w:val="both"/>
        <w:rPr>
          <w:b/>
        </w:rPr>
      </w:pPr>
    </w:p>
    <w:p w:rsidR="001D2960" w:rsidRDefault="001D2960" w:rsidP="001D2960">
      <w:pPr>
        <w:pStyle w:val="ListParagraph1"/>
        <w:widowControl w:val="0"/>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0"/>
        <w:jc w:val="both"/>
      </w:pPr>
      <w:r w:rsidRPr="0001694B">
        <w:t xml:space="preserve">De acordo </w:t>
      </w:r>
      <w:r>
        <w:t xml:space="preserve">com o </w:t>
      </w:r>
      <w:proofErr w:type="spellStart"/>
      <w:r w:rsidRPr="0001694B">
        <w:t>AgRg</w:t>
      </w:r>
      <w:proofErr w:type="spellEnd"/>
      <w:r w:rsidRPr="0001694B">
        <w:t xml:space="preserve"> no </w:t>
      </w:r>
      <w:proofErr w:type="spellStart"/>
      <w:r w:rsidRPr="0001694B">
        <w:t>REsp</w:t>
      </w:r>
      <w:proofErr w:type="spellEnd"/>
      <w:r w:rsidRPr="0001694B">
        <w:t xml:space="preserve"> 1.051.634</w:t>
      </w:r>
      <w:r>
        <w:t>:</w:t>
      </w:r>
    </w:p>
    <w:p w:rsidR="001D2960" w:rsidRDefault="001D2960" w:rsidP="001D2960">
      <w:pPr>
        <w:pStyle w:val="ListParagraph1"/>
        <w:widowControl w:val="0"/>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0"/>
        <w:jc w:val="both"/>
      </w:pPr>
    </w:p>
    <w:p w:rsidR="001D2960" w:rsidRDefault="001D2960" w:rsidP="001D2960">
      <w:pPr>
        <w:pStyle w:val="ListParagraph1"/>
        <w:widowControl w:val="0"/>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0"/>
        <w:jc w:val="both"/>
      </w:pPr>
      <w:r>
        <w:t xml:space="preserve">TRIBUTÁRIO. PIS. COFINS. SISTEMA MONOFÁSICO. APROVEITAMENTO DE CRÉDITOS. POSSIBILIDADE. LEI N. 11.033/04. EXTENSÃO DO BENEFÍCIO FISCAL ÀS EMPRESAS NÃO VINCULADAS A ESSE REGIME. CABIMENTO. 1. É possível o </w:t>
      </w:r>
      <w:proofErr w:type="spellStart"/>
      <w:r>
        <w:t>creditamento</w:t>
      </w:r>
      <w:proofErr w:type="spellEnd"/>
      <w:r>
        <w:t xml:space="preserve"> do PIS e da COFINS no regime monofásico, porquanto "o fato de os demais elos da cadeia produtiva estarem desobrigados do recolhimento, à exceção do produtor ou importador responsáveis pelo recolhimento do tributo a uma alíquota maior, não é óbice para que os contribuintes mantenham os créditos de todas as aquisições por eles efetuadas". Entendimento firmado pela Primeira Turma nos autos do </w:t>
      </w:r>
      <w:proofErr w:type="spellStart"/>
      <w:r>
        <w:t>AgRg</w:t>
      </w:r>
      <w:proofErr w:type="spellEnd"/>
      <w:r>
        <w:t xml:space="preserve"> no </w:t>
      </w:r>
      <w:proofErr w:type="spellStart"/>
      <w:r>
        <w:t>REsp</w:t>
      </w:r>
      <w:proofErr w:type="spellEnd"/>
      <w:r>
        <w:t xml:space="preserve"> 1.051.634/CE (Rel. Ministro SÉRGIO KUKINA, Rel. p/ Acórdão Ministra REGINA HELENA COSTA, PRIMEIRA TURMA, julgado em 28/3/2017, </w:t>
      </w:r>
      <w:proofErr w:type="spellStart"/>
      <w:r>
        <w:t>DJe</w:t>
      </w:r>
      <w:proofErr w:type="spellEnd"/>
      <w:r>
        <w:t xml:space="preserve"> 27/4/2017). 2. Agravo interno não provido.</w:t>
      </w:r>
    </w:p>
    <w:p w:rsidR="001D2960" w:rsidRDefault="001D2960" w:rsidP="001D2960">
      <w:pPr>
        <w:pStyle w:val="ListParagraph1"/>
        <w:widowControl w:val="0"/>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0"/>
        <w:jc w:val="both"/>
      </w:pPr>
    </w:p>
    <w:p w:rsidR="001D2960" w:rsidRDefault="001D2960" w:rsidP="001D2960">
      <w:pPr>
        <w:pStyle w:val="ListParagraph1"/>
        <w:widowControl w:val="0"/>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0"/>
        <w:jc w:val="both"/>
      </w:pPr>
      <w:r>
        <w:t xml:space="preserve">Logo, há possibilidade de </w:t>
      </w:r>
      <w:proofErr w:type="spellStart"/>
      <w:r>
        <w:t>creditamento</w:t>
      </w:r>
      <w:proofErr w:type="spellEnd"/>
      <w:r>
        <w:t xml:space="preserve"> do PIS (Programa de Integração Social) e da COFINS (Contribuição para o Financiamento da Seguridade Social) no contexto do regime monofásico de tributação. No regime monofásico, a responsabilidade pelo pagamento do tributo é concentrada em um único elo da cadeia produtiva, geralmente o produtor ou importador, que recolhe o imposto com uma alíquota mais elevada, ficando os demais elos da cadeia produtiva desobrigados do recolhimento.</w:t>
      </w:r>
    </w:p>
    <w:p w:rsidR="001D2960" w:rsidRDefault="001D2960" w:rsidP="001D2960">
      <w:pPr>
        <w:pStyle w:val="ListParagraph1"/>
        <w:widowControl w:val="0"/>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jc w:val="both"/>
      </w:pPr>
    </w:p>
    <w:p w:rsidR="001D2960" w:rsidRDefault="001D2960" w:rsidP="001D2960">
      <w:pPr>
        <w:pStyle w:val="ListParagraph1"/>
        <w:widowControl w:val="0"/>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0"/>
        <w:jc w:val="both"/>
      </w:pPr>
      <w:r>
        <w:t xml:space="preserve">A questão discutida diz respeito à possibilidade de empresas que não estão diretamente vinculadas ao regime monofásico de tributação aproveitarem créditos de PIS e COFINS, mesmo quando adquirem produtos sujeitos a esse regime. A conclusão apresentada é que essas empresas têm direito ao </w:t>
      </w:r>
      <w:proofErr w:type="spellStart"/>
      <w:r>
        <w:t>creditamento</w:t>
      </w:r>
      <w:proofErr w:type="spellEnd"/>
      <w:r>
        <w:t>, mesmo que outros elos da cadeia produtiva não estejam sujeitos ao pagamento dos tributos.</w:t>
      </w:r>
    </w:p>
    <w:p w:rsidR="001D2960" w:rsidRDefault="001D2960" w:rsidP="001D2960">
      <w:pPr>
        <w:pStyle w:val="ListParagraph1"/>
        <w:widowControl w:val="0"/>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jc w:val="both"/>
      </w:pPr>
    </w:p>
    <w:p w:rsidR="001D2960" w:rsidRDefault="001D2960" w:rsidP="001D2960">
      <w:pPr>
        <w:pStyle w:val="ListParagraph1"/>
        <w:widowControl w:val="0"/>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0"/>
        <w:jc w:val="both"/>
      </w:pPr>
      <w:r>
        <w:t xml:space="preserve">Essa interpretação baseia-se na ideia de que, mesmo que determinados elos da cadeia produtiva estejam desobrigados do recolhimento do tributo, isso não impede que outras empresas mantenham os créditos relativos às aquisições que realizaram. Essa posição foi consolidada em um julgamento pela Primeira Turma do Superior Tribunal de Justiça (STJ), no qual ficou estabelecido que o regime monofásico não impede o </w:t>
      </w:r>
      <w:proofErr w:type="spellStart"/>
      <w:r>
        <w:t>creditamento</w:t>
      </w:r>
      <w:proofErr w:type="spellEnd"/>
      <w:r>
        <w:t xml:space="preserve"> do PIS e da COFINS por parte das empresas não diretamente responsáveis pelo recolhimento do tributo.</w:t>
      </w:r>
    </w:p>
    <w:p w:rsidR="001D2960" w:rsidRDefault="001D2960" w:rsidP="001D2960">
      <w:pPr>
        <w:pStyle w:val="ListParagraph1"/>
        <w:widowControl w:val="0"/>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jc w:val="both"/>
      </w:pPr>
    </w:p>
    <w:p w:rsidR="001D2960" w:rsidRPr="0001694B" w:rsidRDefault="001D2960" w:rsidP="001D2960">
      <w:pPr>
        <w:pStyle w:val="ListParagraph1"/>
        <w:widowControl w:val="0"/>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0"/>
        <w:jc w:val="both"/>
      </w:pPr>
      <w:r>
        <w:t xml:space="preserve">Portanto, é possível o aproveitamento de créditos de PIS e COFINS pelas empresas não vinculadas ao regime monofásico, reforçando essa interpretação com base em decisão </w:t>
      </w:r>
      <w:r>
        <w:lastRenderedPageBreak/>
        <w:t>judicial. O agravo interno mencionado foi negado, confirmando essa posição.</w:t>
      </w:r>
    </w:p>
    <w:p w:rsidR="001D2960"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p>
    <w:p w:rsidR="001D2960" w:rsidRDefault="001D2960" w:rsidP="001D2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 xml:space="preserve">Assim sendo, </w:t>
      </w:r>
      <w:r w:rsidRPr="0001694B">
        <w:rPr>
          <w:sz w:val="24"/>
          <w:szCs w:val="24"/>
        </w:rPr>
        <w:t>a pessoa jurídica que desempenha atividade cuja receita submete-se ao regime de tributação monofásico pode ter direito ao aproveitamento de créditos de PIS (Programa de Integração Social) e COFINS (Contribuição para o Financiamento da Seguridade Social).</w:t>
      </w:r>
    </w:p>
    <w:sectPr w:rsidR="001D296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ova Cond">
    <w:charset w:val="00"/>
    <w:family w:val="swiss"/>
    <w:pitch w:val="variable"/>
    <w:sig w:usb0="2000028F" w:usb1="00000002"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626CF6"/>
    <w:multiLevelType w:val="hybridMultilevel"/>
    <w:tmpl w:val="70FA8FC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768C3D0D"/>
    <w:multiLevelType w:val="hybridMultilevel"/>
    <w:tmpl w:val="ED383452"/>
    <w:lvl w:ilvl="0" w:tplc="7AF6CC5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960"/>
    <w:rsid w:val="001D2960"/>
    <w:rsid w:val="00DD629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F4A07"/>
  <w15:chartTrackingRefBased/>
  <w15:docId w15:val="{854D0261-8A4E-4BB7-AF34-CCB12DC66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2960"/>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uiPriority w:val="9"/>
    <w:qFormat/>
    <w:rsid w:val="001D296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Ttulo1"/>
    <w:next w:val="Normal"/>
    <w:link w:val="Ttulo2Char"/>
    <w:uiPriority w:val="99"/>
    <w:qFormat/>
    <w:rsid w:val="001D2960"/>
    <w:pPr>
      <w:keepNext w:val="0"/>
      <w:keepLines w:val="0"/>
      <w:spacing w:before="120" w:after="120"/>
      <w:jc w:val="both"/>
      <w:outlineLvl w:val="1"/>
    </w:pPr>
    <w:rPr>
      <w:rFonts w:ascii="Arial Nova Cond" w:eastAsia="Times New Roman" w:hAnsi="Arial Nova Cond" w:cs="Times New Roman"/>
      <w:b/>
      <w:bCs/>
      <w:color w:val="auto"/>
    </w:rPr>
  </w:style>
  <w:style w:type="paragraph" w:styleId="Ttulo3">
    <w:name w:val="heading 3"/>
    <w:basedOn w:val="Normal"/>
    <w:next w:val="Normal"/>
    <w:link w:val="Ttulo3Char"/>
    <w:uiPriority w:val="9"/>
    <w:semiHidden/>
    <w:unhideWhenUsed/>
    <w:qFormat/>
    <w:rsid w:val="001D2960"/>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Ttulo3"/>
    <w:next w:val="Normal"/>
    <w:link w:val="Ttulo4Char"/>
    <w:uiPriority w:val="99"/>
    <w:unhideWhenUsed/>
    <w:qFormat/>
    <w:rsid w:val="001D2960"/>
    <w:pPr>
      <w:keepNext w:val="0"/>
      <w:keepLines w:val="0"/>
      <w:spacing w:before="0" w:after="120"/>
      <w:jc w:val="right"/>
      <w:outlineLvl w:val="3"/>
    </w:pPr>
    <w:rPr>
      <w:rFonts w:ascii="Arial Nova Cond" w:eastAsia="Times New Roman" w:hAnsi="Arial Nova Cond" w:cs="Times New Roman"/>
      <w:b/>
      <w:color w:val="auto"/>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9"/>
    <w:rsid w:val="001D2960"/>
    <w:rPr>
      <w:rFonts w:ascii="Arial Nova Cond" w:eastAsia="Times New Roman" w:hAnsi="Arial Nova Cond" w:cs="Times New Roman"/>
      <w:b/>
      <w:bCs/>
      <w:sz w:val="32"/>
      <w:szCs w:val="32"/>
      <w:lang w:eastAsia="pt-BR"/>
    </w:rPr>
  </w:style>
  <w:style w:type="character" w:customStyle="1" w:styleId="Ttulo4Char">
    <w:name w:val="Título 4 Char"/>
    <w:basedOn w:val="Fontepargpadro"/>
    <w:link w:val="Ttulo4"/>
    <w:uiPriority w:val="99"/>
    <w:rsid w:val="001D2960"/>
    <w:rPr>
      <w:rFonts w:ascii="Arial Nova Cond" w:eastAsia="Times New Roman" w:hAnsi="Arial Nova Cond" w:cs="Times New Roman"/>
      <w:b/>
      <w:sz w:val="28"/>
      <w:szCs w:val="28"/>
      <w:lang w:eastAsia="pt-BR"/>
    </w:rPr>
  </w:style>
  <w:style w:type="character" w:styleId="Hyperlink">
    <w:name w:val="Hyperlink"/>
    <w:basedOn w:val="Fontepargpadro"/>
    <w:uiPriority w:val="99"/>
    <w:rsid w:val="001D2960"/>
    <w:rPr>
      <w:rFonts w:cs="Times New Roman"/>
      <w:color w:val="0000FF"/>
      <w:u w:val="single"/>
    </w:rPr>
  </w:style>
  <w:style w:type="paragraph" w:customStyle="1" w:styleId="PargrafodaLista2">
    <w:name w:val="Parágrafo da Lista2"/>
    <w:basedOn w:val="Normal"/>
    <w:qFormat/>
    <w:rsid w:val="001D2960"/>
    <w:pPr>
      <w:ind w:left="720"/>
      <w:contextualSpacing/>
    </w:pPr>
    <w:rPr>
      <w:sz w:val="24"/>
      <w:szCs w:val="24"/>
      <w:lang w:eastAsia="en-US"/>
    </w:rPr>
  </w:style>
  <w:style w:type="paragraph" w:customStyle="1" w:styleId="ListParagraph1">
    <w:name w:val="List Paragraph1"/>
    <w:basedOn w:val="Normal"/>
    <w:rsid w:val="001D2960"/>
    <w:pPr>
      <w:ind w:left="720"/>
      <w:contextualSpacing/>
    </w:pPr>
    <w:rPr>
      <w:sz w:val="24"/>
      <w:szCs w:val="24"/>
    </w:rPr>
  </w:style>
  <w:style w:type="character" w:customStyle="1" w:styleId="Ttulo1Char">
    <w:name w:val="Título 1 Char"/>
    <w:basedOn w:val="Fontepargpadro"/>
    <w:link w:val="Ttulo1"/>
    <w:uiPriority w:val="9"/>
    <w:rsid w:val="001D2960"/>
    <w:rPr>
      <w:rFonts w:asciiTheme="majorHAnsi" w:eastAsiaTheme="majorEastAsia" w:hAnsiTheme="majorHAnsi" w:cstheme="majorBidi"/>
      <w:color w:val="2F5496" w:themeColor="accent1" w:themeShade="BF"/>
      <w:sz w:val="32"/>
      <w:szCs w:val="32"/>
      <w:lang w:eastAsia="pt-BR"/>
    </w:rPr>
  </w:style>
  <w:style w:type="character" w:customStyle="1" w:styleId="Ttulo3Char">
    <w:name w:val="Título 3 Char"/>
    <w:basedOn w:val="Fontepargpadro"/>
    <w:link w:val="Ttulo3"/>
    <w:uiPriority w:val="9"/>
    <w:semiHidden/>
    <w:rsid w:val="001D2960"/>
    <w:rPr>
      <w:rFonts w:asciiTheme="majorHAnsi" w:eastAsiaTheme="majorEastAsia" w:hAnsiTheme="majorHAnsi" w:cstheme="majorBidi"/>
      <w:color w:val="1F3763" w:themeColor="accent1" w:themeShade="7F"/>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rocesso.stj.jus.br/processo/revista/documento/mediado/?componente=ITA&amp;sequencial=1507082&amp;num_registro=200800896473&amp;data=20170427&amp;peticao_numero=201400261444&amp;formato=PDF"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1426</Words>
  <Characters>7703</Characters>
  <Application>Microsoft Office Word</Application>
  <DocSecurity>0</DocSecurity>
  <Lines>64</Lines>
  <Paragraphs>18</Paragraphs>
  <ScaleCrop>false</ScaleCrop>
  <Company/>
  <LinksUpToDate>false</LinksUpToDate>
  <CharactersWithSpaces>9111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Sampaio Valera</dc:creator>
  <cp:keywords/>
  <dc:description/>
  <cp:lastModifiedBy>Renata Sampaio Valera</cp:lastModifiedBy>
  <cp:revision>1</cp:revision>
  <dcterms:created xsi:type="dcterms:W3CDTF">2024-04-11T22:02:00Z</dcterms:created>
  <dcterms:modified xsi:type="dcterms:W3CDTF">2024-04-11T22:03:00Z</dcterms:modified>
</cp:coreProperties>
</file>