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130137" w14:textId="77777777" w:rsidR="006732B3" w:rsidRPr="0085100E" w:rsidRDefault="006732B3" w:rsidP="009B51DD">
      <w:pPr>
        <w:shd w:val="clear" w:color="auto" w:fill="FFFFFF"/>
        <w:rPr>
          <w:bCs/>
          <w:color w:val="7030A0"/>
          <w:sz w:val="24"/>
          <w:szCs w:val="24"/>
        </w:rPr>
      </w:pPr>
      <w:r w:rsidRPr="0085100E">
        <w:rPr>
          <w:bCs/>
          <w:color w:val="7030A0"/>
          <w:sz w:val="24"/>
          <w:szCs w:val="24"/>
        </w:rPr>
        <w:t>Olá Professores!!</w:t>
      </w:r>
    </w:p>
    <w:p w14:paraId="6C11654D" w14:textId="77777777" w:rsidR="006732B3" w:rsidRPr="0085100E" w:rsidRDefault="006732B3" w:rsidP="009B51DD">
      <w:pPr>
        <w:shd w:val="clear" w:color="auto" w:fill="FFFFFF"/>
        <w:rPr>
          <w:bCs/>
          <w:color w:val="7030A0"/>
          <w:sz w:val="24"/>
          <w:szCs w:val="24"/>
        </w:rPr>
      </w:pPr>
      <w:r w:rsidRPr="0085100E">
        <w:rPr>
          <w:bCs/>
          <w:color w:val="7030A0"/>
          <w:sz w:val="24"/>
          <w:szCs w:val="24"/>
        </w:rPr>
        <w:t>Tudo bem!?</w:t>
      </w:r>
    </w:p>
    <w:p w14:paraId="2373C1F1" w14:textId="77777777" w:rsidR="006732B3" w:rsidRPr="0085100E" w:rsidRDefault="006732B3" w:rsidP="009B51DD">
      <w:pPr>
        <w:shd w:val="clear" w:color="auto" w:fill="FFFFFF"/>
        <w:rPr>
          <w:bCs/>
          <w:color w:val="7030A0"/>
          <w:sz w:val="24"/>
          <w:szCs w:val="24"/>
        </w:rPr>
      </w:pPr>
    </w:p>
    <w:p w14:paraId="618776C4" w14:textId="77777777" w:rsidR="006732B3" w:rsidRPr="0085100E" w:rsidRDefault="006732B3" w:rsidP="009B51DD">
      <w:pPr>
        <w:shd w:val="clear" w:color="auto" w:fill="FFFFFF"/>
        <w:rPr>
          <w:bCs/>
          <w:color w:val="7030A0"/>
          <w:sz w:val="24"/>
          <w:szCs w:val="24"/>
        </w:rPr>
      </w:pPr>
      <w:r w:rsidRPr="0085100E">
        <w:rPr>
          <w:bCs/>
          <w:color w:val="7030A0"/>
          <w:sz w:val="24"/>
          <w:szCs w:val="24"/>
        </w:rPr>
        <w:t>Sei que já mandei essas análises de caso antes</w:t>
      </w:r>
      <w:proofErr w:type="gramStart"/>
      <w:r w:rsidRPr="0085100E">
        <w:rPr>
          <w:bCs/>
          <w:color w:val="7030A0"/>
          <w:sz w:val="24"/>
          <w:szCs w:val="24"/>
        </w:rPr>
        <w:t>...</w:t>
      </w:r>
      <w:proofErr w:type="gramEnd"/>
      <w:r w:rsidRPr="0085100E">
        <w:rPr>
          <w:bCs/>
          <w:color w:val="7030A0"/>
          <w:sz w:val="24"/>
          <w:szCs w:val="24"/>
        </w:rPr>
        <w:t xml:space="preserve"> mas eu fiquei até com vergonha do trabalho anterior depois que participei das discussões em sala de aula e, por isso, resolvi fazer novamente e mandar por aqui.</w:t>
      </w:r>
    </w:p>
    <w:p w14:paraId="2536D5F3" w14:textId="77777777" w:rsidR="006732B3" w:rsidRPr="0085100E" w:rsidRDefault="006732B3" w:rsidP="009B51DD">
      <w:pPr>
        <w:shd w:val="clear" w:color="auto" w:fill="FFFFFF"/>
        <w:rPr>
          <w:bCs/>
          <w:color w:val="7030A0"/>
          <w:sz w:val="24"/>
          <w:szCs w:val="24"/>
        </w:rPr>
      </w:pPr>
      <w:r w:rsidRPr="0085100E">
        <w:rPr>
          <w:bCs/>
          <w:color w:val="7030A0"/>
          <w:sz w:val="24"/>
          <w:szCs w:val="24"/>
        </w:rPr>
        <w:t>Se possível, por favor, peço que desconsiderem as atividades de análise de caso anteriores que mandei dos temas VII e VIII e considerem as que estou enviando por aqui agora...</w:t>
      </w:r>
    </w:p>
    <w:p w14:paraId="67B9BFF6" w14:textId="77777777" w:rsidR="006732B3" w:rsidRPr="0085100E" w:rsidRDefault="006732B3" w:rsidP="009B51DD">
      <w:pPr>
        <w:shd w:val="clear" w:color="auto" w:fill="FFFFFF"/>
        <w:rPr>
          <w:bCs/>
          <w:color w:val="7030A0"/>
          <w:sz w:val="24"/>
          <w:szCs w:val="24"/>
        </w:rPr>
      </w:pPr>
    </w:p>
    <w:p w14:paraId="006B4C7E" w14:textId="47B9226C" w:rsidR="006732B3" w:rsidRPr="0085100E" w:rsidRDefault="006732B3" w:rsidP="009B51DD">
      <w:pPr>
        <w:shd w:val="clear" w:color="auto" w:fill="FFFFFF"/>
        <w:rPr>
          <w:bCs/>
          <w:color w:val="7030A0"/>
          <w:sz w:val="24"/>
          <w:szCs w:val="24"/>
        </w:rPr>
      </w:pPr>
      <w:r w:rsidRPr="0085100E">
        <w:rPr>
          <w:bCs/>
          <w:color w:val="7030A0"/>
          <w:sz w:val="24"/>
          <w:szCs w:val="24"/>
        </w:rPr>
        <w:t>No mais, alguns alunos me disseram que não precisaria entregar no e-mail as análises de caso (pois não valeriam nota), somente os seminários. Essa informação procede? Devo continuar enviando no e-mail as análises de caso, além dos seminários?</w:t>
      </w:r>
    </w:p>
    <w:p w14:paraId="246A7702" w14:textId="2E57736A" w:rsidR="004874C4" w:rsidRPr="0085100E" w:rsidRDefault="004874C4" w:rsidP="009B51DD">
      <w:pPr>
        <w:shd w:val="clear" w:color="auto" w:fill="FFFFFF"/>
        <w:rPr>
          <w:bCs/>
          <w:color w:val="7030A0"/>
          <w:sz w:val="24"/>
          <w:szCs w:val="24"/>
        </w:rPr>
      </w:pPr>
    </w:p>
    <w:p w14:paraId="6BF37243" w14:textId="3D1A94B1" w:rsidR="004874C4" w:rsidRPr="0085100E" w:rsidRDefault="004874C4" w:rsidP="009B51DD">
      <w:pPr>
        <w:shd w:val="clear" w:color="auto" w:fill="FFFFFF"/>
        <w:rPr>
          <w:bCs/>
          <w:color w:val="7030A0"/>
          <w:sz w:val="24"/>
          <w:szCs w:val="24"/>
        </w:rPr>
      </w:pPr>
      <w:r w:rsidRPr="0085100E">
        <w:rPr>
          <w:bCs/>
          <w:color w:val="7030A0"/>
          <w:sz w:val="24"/>
          <w:szCs w:val="24"/>
        </w:rPr>
        <w:t>Atenciosamente,</w:t>
      </w:r>
    </w:p>
    <w:p w14:paraId="3FC72830" w14:textId="565D83C4" w:rsidR="004874C4" w:rsidRPr="0085100E" w:rsidRDefault="004874C4" w:rsidP="009B51DD">
      <w:pPr>
        <w:shd w:val="clear" w:color="auto" w:fill="FFFFFF"/>
        <w:rPr>
          <w:bCs/>
          <w:color w:val="7030A0"/>
          <w:sz w:val="24"/>
          <w:szCs w:val="24"/>
        </w:rPr>
      </w:pPr>
    </w:p>
    <w:p w14:paraId="5511FB40" w14:textId="77777777" w:rsidR="004874C4" w:rsidRPr="0085100E" w:rsidRDefault="004874C4" w:rsidP="004874C4">
      <w:pPr>
        <w:shd w:val="clear" w:color="auto" w:fill="FFFFFF"/>
        <w:rPr>
          <w:bCs/>
          <w:color w:val="7030A0"/>
          <w:sz w:val="24"/>
          <w:szCs w:val="24"/>
        </w:rPr>
      </w:pPr>
      <w:r w:rsidRPr="0085100E">
        <w:rPr>
          <w:bCs/>
          <w:color w:val="7030A0"/>
          <w:sz w:val="24"/>
          <w:szCs w:val="24"/>
        </w:rPr>
        <w:t>Renata Sampaio Valera</w:t>
      </w:r>
    </w:p>
    <w:p w14:paraId="5C94D73C" w14:textId="77777777" w:rsidR="004874C4" w:rsidRPr="0085100E" w:rsidRDefault="004874C4" w:rsidP="009B51DD">
      <w:pPr>
        <w:shd w:val="clear" w:color="auto" w:fill="FFFFFF"/>
        <w:rPr>
          <w:bCs/>
          <w:color w:val="7030A0"/>
          <w:sz w:val="24"/>
          <w:szCs w:val="24"/>
        </w:rPr>
      </w:pPr>
    </w:p>
    <w:p w14:paraId="664A2770" w14:textId="77777777" w:rsidR="006732B3" w:rsidRPr="0085100E" w:rsidRDefault="006732B3" w:rsidP="009B51DD">
      <w:pPr>
        <w:shd w:val="clear" w:color="auto" w:fill="FFFFFF"/>
        <w:rPr>
          <w:b/>
          <w:bCs/>
          <w:color w:val="222222"/>
          <w:sz w:val="24"/>
          <w:szCs w:val="24"/>
        </w:rPr>
      </w:pPr>
    </w:p>
    <w:p w14:paraId="67862438" w14:textId="77777777" w:rsidR="006732B3" w:rsidRPr="0085100E" w:rsidRDefault="006732B3" w:rsidP="009B51DD">
      <w:pPr>
        <w:shd w:val="clear" w:color="auto" w:fill="FFFFFF"/>
        <w:rPr>
          <w:b/>
          <w:bCs/>
          <w:color w:val="222222"/>
          <w:sz w:val="24"/>
          <w:szCs w:val="24"/>
        </w:rPr>
      </w:pPr>
      <w:r w:rsidRPr="0085100E">
        <w:rPr>
          <w:b/>
          <w:bCs/>
          <w:color w:val="222222"/>
          <w:sz w:val="24"/>
          <w:szCs w:val="24"/>
        </w:rPr>
        <w:t>--------------</w:t>
      </w:r>
    </w:p>
    <w:p w14:paraId="355D7340" w14:textId="77777777" w:rsidR="006732B3" w:rsidRPr="0085100E" w:rsidRDefault="006732B3" w:rsidP="009B51DD">
      <w:pPr>
        <w:shd w:val="clear" w:color="auto" w:fill="FFFFFF"/>
        <w:rPr>
          <w:b/>
          <w:bCs/>
          <w:color w:val="222222"/>
          <w:sz w:val="24"/>
          <w:szCs w:val="24"/>
        </w:rPr>
      </w:pPr>
    </w:p>
    <w:p w14:paraId="2BAC4138" w14:textId="76A865FC" w:rsidR="009B51DD" w:rsidRPr="0085100E" w:rsidRDefault="009B51DD" w:rsidP="009B51DD">
      <w:pPr>
        <w:shd w:val="clear" w:color="auto" w:fill="FFFFFF"/>
        <w:rPr>
          <w:b/>
          <w:bCs/>
          <w:color w:val="222222"/>
          <w:sz w:val="24"/>
          <w:szCs w:val="24"/>
        </w:rPr>
      </w:pPr>
      <w:r w:rsidRPr="0085100E">
        <w:rPr>
          <w:b/>
          <w:bCs/>
          <w:color w:val="222222"/>
          <w:sz w:val="24"/>
          <w:szCs w:val="24"/>
        </w:rPr>
        <w:t>Renata Sampaio Valera</w:t>
      </w:r>
    </w:p>
    <w:p w14:paraId="0A4ED3FE" w14:textId="77777777" w:rsidR="009B51DD" w:rsidRPr="0085100E" w:rsidRDefault="009B51DD" w:rsidP="009B51DD">
      <w:pPr>
        <w:shd w:val="clear" w:color="auto" w:fill="FFFFFF"/>
        <w:rPr>
          <w:color w:val="222222"/>
          <w:sz w:val="24"/>
          <w:szCs w:val="24"/>
        </w:rPr>
      </w:pPr>
      <w:r w:rsidRPr="0085100E">
        <w:rPr>
          <w:color w:val="222222"/>
          <w:sz w:val="24"/>
          <w:szCs w:val="24"/>
        </w:rPr>
        <w:t>RA 00351837 - Curso de Especialização em Direito Tributário [1º semestre de 2024 - turma 657T1TNA]</w:t>
      </w:r>
    </w:p>
    <w:p w14:paraId="226E9346" w14:textId="77777777" w:rsidR="009B51DD" w:rsidRDefault="009B51DD" w:rsidP="0087475E">
      <w:pPr>
        <w:pStyle w:val="Ttulo1"/>
        <w:spacing w:before="0" w:after="0"/>
        <w:ind w:right="-1"/>
        <w:rPr>
          <w:rFonts w:ascii="Times New Roman" w:hAnsi="Times New Roman" w:cs="Times New Roman"/>
          <w:sz w:val="24"/>
          <w:szCs w:val="24"/>
        </w:rPr>
      </w:pPr>
    </w:p>
    <w:p w14:paraId="26F7BAE3" w14:textId="77777777" w:rsidR="00173710" w:rsidRPr="00173710" w:rsidRDefault="00173710" w:rsidP="00173710"/>
    <w:p w14:paraId="7211B373" w14:textId="2E62E16B" w:rsidR="00B50B60" w:rsidRPr="0085100E" w:rsidRDefault="005F4D77" w:rsidP="0087475E">
      <w:pPr>
        <w:pStyle w:val="Ttulo1"/>
        <w:spacing w:before="0" w:after="0"/>
        <w:ind w:right="-1"/>
        <w:rPr>
          <w:rFonts w:ascii="Times New Roman" w:hAnsi="Times New Roman" w:cs="Times New Roman"/>
          <w:sz w:val="24"/>
          <w:szCs w:val="24"/>
        </w:rPr>
      </w:pPr>
      <w:r w:rsidRPr="0085100E">
        <w:rPr>
          <w:rFonts w:ascii="Times New Roman" w:hAnsi="Times New Roman" w:cs="Times New Roman"/>
          <w:sz w:val="24"/>
          <w:szCs w:val="24"/>
        </w:rPr>
        <w:t>ANÁLISE DE CASOS VIII</w:t>
      </w:r>
    </w:p>
    <w:p w14:paraId="2C1E2995" w14:textId="77777777" w:rsidR="00B50B60" w:rsidRDefault="00B50B60" w:rsidP="0087475E">
      <w:pPr>
        <w:widowControl w:val="0"/>
        <w:tabs>
          <w:tab w:val="left" w:pos="891"/>
        </w:tabs>
        <w:autoSpaceDE w:val="0"/>
        <w:autoSpaceDN w:val="0"/>
        <w:ind w:right="-1"/>
        <w:jc w:val="both"/>
        <w:rPr>
          <w:sz w:val="24"/>
          <w:szCs w:val="24"/>
        </w:rPr>
      </w:pPr>
    </w:p>
    <w:p w14:paraId="24AEE1E0" w14:textId="77777777" w:rsidR="00173710" w:rsidRPr="0085100E" w:rsidRDefault="00173710" w:rsidP="0087475E">
      <w:pPr>
        <w:widowControl w:val="0"/>
        <w:tabs>
          <w:tab w:val="left" w:pos="891"/>
        </w:tabs>
        <w:autoSpaceDE w:val="0"/>
        <w:autoSpaceDN w:val="0"/>
        <w:ind w:right="-1"/>
        <w:jc w:val="both"/>
        <w:rPr>
          <w:sz w:val="24"/>
          <w:szCs w:val="24"/>
        </w:rPr>
      </w:pPr>
    </w:p>
    <w:p w14:paraId="1C2DF4B3" w14:textId="08C963CB" w:rsidR="00B50B60" w:rsidRPr="0085100E" w:rsidRDefault="00B50B60" w:rsidP="0087475E">
      <w:pPr>
        <w:pStyle w:val="PargrafodaLista"/>
        <w:numPr>
          <w:ilvl w:val="0"/>
          <w:numId w:val="6"/>
        </w:numPr>
        <w:ind w:left="426" w:right="-1" w:hanging="426"/>
        <w:jc w:val="both"/>
        <w:rPr>
          <w:b/>
          <w:bCs/>
          <w:sz w:val="24"/>
          <w:szCs w:val="24"/>
        </w:rPr>
      </w:pPr>
      <w:r w:rsidRPr="0085100E">
        <w:rPr>
          <w:b/>
          <w:bCs/>
          <w:sz w:val="24"/>
          <w:szCs w:val="24"/>
        </w:rPr>
        <w:t>A empresa Software Ltda licencia software customizado para seus clientes e alguns que são de prateleira. Com fundamento no 1.04 da lista de serviços da Lei Complementar n. 116/03, ela recolhe ISS nos dois casos. Pergunta-se:</w:t>
      </w:r>
    </w:p>
    <w:p w14:paraId="73ABCECF" w14:textId="77777777" w:rsidR="003A11CA" w:rsidRPr="0085100E" w:rsidRDefault="003A11CA" w:rsidP="0087475E">
      <w:pPr>
        <w:ind w:right="-1"/>
        <w:jc w:val="both"/>
        <w:rPr>
          <w:b/>
          <w:bCs/>
          <w:sz w:val="24"/>
          <w:szCs w:val="24"/>
        </w:rPr>
      </w:pPr>
    </w:p>
    <w:p w14:paraId="55CF3F52" w14:textId="77777777" w:rsidR="003A11CA" w:rsidRPr="0085100E" w:rsidRDefault="003A11CA" w:rsidP="0087475E">
      <w:pPr>
        <w:ind w:right="-1"/>
        <w:jc w:val="both"/>
        <w:rPr>
          <w:b/>
          <w:bCs/>
          <w:sz w:val="24"/>
          <w:szCs w:val="24"/>
        </w:rPr>
      </w:pPr>
    </w:p>
    <w:p w14:paraId="2A113A04" w14:textId="77777777" w:rsidR="00B50B60" w:rsidRPr="0085100E" w:rsidRDefault="00B50B60" w:rsidP="0087475E">
      <w:pPr>
        <w:pStyle w:val="PargrafodaLista"/>
        <w:numPr>
          <w:ilvl w:val="0"/>
          <w:numId w:val="4"/>
        </w:numPr>
        <w:ind w:left="1276" w:right="-1" w:hanging="425"/>
        <w:contextualSpacing w:val="0"/>
        <w:rPr>
          <w:b/>
          <w:bCs/>
          <w:sz w:val="24"/>
          <w:szCs w:val="24"/>
        </w:rPr>
      </w:pPr>
      <w:r w:rsidRPr="0085100E">
        <w:rPr>
          <w:b/>
          <w:bCs/>
          <w:sz w:val="24"/>
          <w:szCs w:val="24"/>
        </w:rPr>
        <w:t>Está correto a postura do contribuinte? Como deveria proceder?</w:t>
      </w:r>
    </w:p>
    <w:p w14:paraId="0A188199" w14:textId="77777777" w:rsidR="003A11CA" w:rsidRPr="0085100E" w:rsidRDefault="003A11CA" w:rsidP="0087475E">
      <w:pPr>
        <w:ind w:right="-1"/>
        <w:rPr>
          <w:sz w:val="24"/>
          <w:szCs w:val="24"/>
        </w:rPr>
      </w:pPr>
    </w:p>
    <w:p w14:paraId="6032828C" w14:textId="77777777" w:rsidR="005F4D77" w:rsidRPr="0085100E" w:rsidRDefault="005F4D77" w:rsidP="0087475E">
      <w:pPr>
        <w:ind w:right="-1"/>
        <w:jc w:val="both"/>
        <w:rPr>
          <w:sz w:val="24"/>
          <w:szCs w:val="24"/>
        </w:rPr>
      </w:pPr>
    </w:p>
    <w:p w14:paraId="0514A817" w14:textId="3FC86F42" w:rsidR="004874C4" w:rsidRPr="0085100E" w:rsidRDefault="004874C4" w:rsidP="0085100E">
      <w:pPr>
        <w:ind w:right="-1" w:firstLine="567"/>
        <w:jc w:val="both"/>
        <w:rPr>
          <w:sz w:val="24"/>
          <w:szCs w:val="24"/>
        </w:rPr>
      </w:pPr>
      <w:r w:rsidRPr="0085100E">
        <w:rPr>
          <w:sz w:val="24"/>
          <w:szCs w:val="24"/>
        </w:rPr>
        <w:t xml:space="preserve">Em meados do ano de 1998, o STF (Supremo Tribunal Federal) distinguiu os softwares em software customizado e de prateleira. Assim, existia muita importância na diferenciação de software customizado ou de prateleira. Para o primeiro se pagava ISS e para o segundo se pagava ICMS. </w:t>
      </w:r>
    </w:p>
    <w:p w14:paraId="0761123E" w14:textId="2179B60F" w:rsidR="004874C4" w:rsidRDefault="004874C4" w:rsidP="0085100E">
      <w:pPr>
        <w:ind w:right="-1" w:firstLine="567"/>
        <w:jc w:val="both"/>
        <w:rPr>
          <w:sz w:val="24"/>
          <w:szCs w:val="24"/>
        </w:rPr>
      </w:pPr>
    </w:p>
    <w:p w14:paraId="38F91076" w14:textId="488C3884" w:rsidR="00810283" w:rsidRDefault="00301909" w:rsidP="00D10238">
      <w:pPr>
        <w:ind w:right="-1" w:firstLine="567"/>
        <w:jc w:val="both"/>
        <w:rPr>
          <w:sz w:val="24"/>
          <w:szCs w:val="24"/>
        </w:rPr>
      </w:pPr>
      <w:r>
        <w:rPr>
          <w:sz w:val="24"/>
          <w:szCs w:val="24"/>
        </w:rPr>
        <w:t xml:space="preserve">De acordo com o art. 1º da </w:t>
      </w:r>
      <w:r w:rsidRPr="00301909">
        <w:rPr>
          <w:sz w:val="24"/>
          <w:szCs w:val="24"/>
        </w:rPr>
        <w:t>Lei 9.609/1998</w:t>
      </w:r>
      <w:r w:rsidR="00D10238">
        <w:rPr>
          <w:sz w:val="24"/>
          <w:szCs w:val="24"/>
        </w:rPr>
        <w:t xml:space="preserve"> (“</w:t>
      </w:r>
      <w:r w:rsidR="00D10238">
        <w:rPr>
          <w:rFonts w:ascii="NewBaskervilleITCbyBT-Roman" w:eastAsia="NewBaskervilleITCbyBT-Roman" w:hAnsiTheme="minorHAnsi" w:cs="NewBaskervilleITCbyBT-Roman"/>
          <w:lang w:eastAsia="en-US"/>
          <w14:ligatures w14:val="standardContextual"/>
        </w:rPr>
        <w:t xml:space="preserve">lei do </w:t>
      </w:r>
      <w:r w:rsidR="00D10238">
        <w:rPr>
          <w:rFonts w:ascii="NewBaskervilleITCbyBT-Roman" w:eastAsia="NewBaskervilleITCbyBT-Roman" w:hAnsiTheme="minorHAnsi" w:cs="NewBaskervilleITCbyBT-Roman"/>
          <w:lang w:eastAsia="en-US"/>
          <w14:ligatures w14:val="standardContextual"/>
        </w:rPr>
        <w:t>s</w:t>
      </w:r>
      <w:r w:rsidR="00D10238">
        <w:rPr>
          <w:rFonts w:ascii="NewBaskervilleITCbyBT-Roman" w:eastAsia="NewBaskervilleITCbyBT-Roman" w:hAnsiTheme="minorHAnsi" w:cs="NewBaskervilleITCbyBT-Roman"/>
          <w:lang w:eastAsia="en-US"/>
          <w14:ligatures w14:val="standardContextual"/>
        </w:rPr>
        <w:t>oftware</w:t>
      </w:r>
      <w:r w:rsidR="00D10238">
        <w:rPr>
          <w:rFonts w:ascii="NewBaskervilleITCbyBT-Roman" w:eastAsia="NewBaskervilleITCbyBT-Roman" w:hAnsiTheme="minorHAnsi" w:cs="NewBaskervilleITCbyBT-Roman"/>
          <w:lang w:eastAsia="en-US"/>
          <w14:ligatures w14:val="standardContextual"/>
        </w:rPr>
        <w:t>”</w:t>
      </w:r>
      <w:r w:rsidR="00D10238">
        <w:rPr>
          <w:sz w:val="24"/>
          <w:szCs w:val="24"/>
        </w:rPr>
        <w:t>)</w:t>
      </w:r>
      <w:r>
        <w:rPr>
          <w:rStyle w:val="Refdenotaderodap"/>
          <w:sz w:val="24"/>
          <w:szCs w:val="24"/>
        </w:rPr>
        <w:footnoteReference w:id="1"/>
      </w:r>
      <w:r w:rsidRPr="00301909">
        <w:rPr>
          <w:sz w:val="24"/>
          <w:szCs w:val="24"/>
        </w:rPr>
        <w:t xml:space="preserve">, </w:t>
      </w:r>
      <w:r>
        <w:rPr>
          <w:sz w:val="24"/>
          <w:szCs w:val="24"/>
        </w:rPr>
        <w:t xml:space="preserve">o </w:t>
      </w:r>
      <w:r w:rsidRPr="00810283">
        <w:rPr>
          <w:sz w:val="24"/>
          <w:szCs w:val="24"/>
          <w:u w:val="single"/>
        </w:rPr>
        <w:t>software</w:t>
      </w:r>
      <w:r>
        <w:rPr>
          <w:sz w:val="24"/>
          <w:szCs w:val="24"/>
        </w:rPr>
        <w:t xml:space="preserve"> (p</w:t>
      </w:r>
      <w:r w:rsidRPr="00301909">
        <w:rPr>
          <w:sz w:val="24"/>
          <w:szCs w:val="24"/>
        </w:rPr>
        <w:t>rograma de computador</w:t>
      </w:r>
      <w:r>
        <w:rPr>
          <w:sz w:val="24"/>
          <w:szCs w:val="24"/>
        </w:rPr>
        <w:t>) consiste n</w:t>
      </w:r>
      <w:r w:rsidRPr="00301909">
        <w:rPr>
          <w:sz w:val="24"/>
          <w:szCs w:val="24"/>
        </w:rPr>
        <w:t xml:space="preserve">um </w:t>
      </w:r>
      <w:r>
        <w:rPr>
          <w:sz w:val="24"/>
          <w:szCs w:val="24"/>
        </w:rPr>
        <w:t>“</w:t>
      </w:r>
      <w:r w:rsidRPr="00301909">
        <w:rPr>
          <w:sz w:val="24"/>
          <w:szCs w:val="24"/>
        </w:rPr>
        <w:t xml:space="preserve">conjunto organizado de instruções em linguagem natural ou codificada, contida em suporte físico de qualquer natureza, de emprego necessário em máquinas automáticas de tratamento da informação, dispositivos, instrumentos ou </w:t>
      </w:r>
      <w:r w:rsidRPr="00301909">
        <w:rPr>
          <w:sz w:val="24"/>
          <w:szCs w:val="24"/>
        </w:rPr>
        <w:lastRenderedPageBreak/>
        <w:t>equipamentos periféricos, baseados em técnica digital ou análoga, para fazê-los funcionar de modo e para fins determinados</w:t>
      </w:r>
      <w:r>
        <w:rPr>
          <w:sz w:val="24"/>
          <w:szCs w:val="24"/>
        </w:rPr>
        <w:t xml:space="preserve">”. </w:t>
      </w:r>
      <w:r w:rsidR="00D10238">
        <w:rPr>
          <w:sz w:val="24"/>
          <w:szCs w:val="24"/>
        </w:rPr>
        <w:t>Esta lei</w:t>
      </w:r>
      <w:r w:rsidR="00D10238" w:rsidRPr="00D10238">
        <w:rPr>
          <w:sz w:val="24"/>
          <w:szCs w:val="24"/>
        </w:rPr>
        <w:t xml:space="preserve"> também estabelece, em seu art. 9º</w:t>
      </w:r>
      <w:r w:rsidR="00D10238">
        <w:rPr>
          <w:sz w:val="24"/>
          <w:szCs w:val="24"/>
        </w:rPr>
        <w:t>,</w:t>
      </w:r>
      <w:r w:rsidR="00D10238" w:rsidRPr="00D10238">
        <w:rPr>
          <w:sz w:val="24"/>
          <w:szCs w:val="24"/>
        </w:rPr>
        <w:t xml:space="preserve"> que os utilitários</w:t>
      </w:r>
      <w:r w:rsidR="00D10238">
        <w:rPr>
          <w:sz w:val="24"/>
          <w:szCs w:val="24"/>
        </w:rPr>
        <w:t xml:space="preserve"> </w:t>
      </w:r>
      <w:r w:rsidR="00D10238" w:rsidRPr="00D10238">
        <w:rPr>
          <w:sz w:val="24"/>
          <w:szCs w:val="24"/>
        </w:rPr>
        <w:t>de computador serão objetos de contrato de licença.</w:t>
      </w:r>
    </w:p>
    <w:p w14:paraId="0A8D80C4" w14:textId="77777777" w:rsidR="00810283" w:rsidRDefault="00810283" w:rsidP="00301909">
      <w:pPr>
        <w:ind w:right="-1" w:firstLine="567"/>
        <w:jc w:val="both"/>
        <w:rPr>
          <w:sz w:val="24"/>
          <w:szCs w:val="24"/>
        </w:rPr>
      </w:pPr>
    </w:p>
    <w:p w14:paraId="554A2E72" w14:textId="45F95DBA" w:rsidR="00301909" w:rsidRDefault="00301909" w:rsidP="00301909">
      <w:pPr>
        <w:ind w:right="-1" w:firstLine="567"/>
        <w:jc w:val="both"/>
        <w:rPr>
          <w:sz w:val="24"/>
          <w:szCs w:val="24"/>
        </w:rPr>
      </w:pPr>
      <w:r>
        <w:rPr>
          <w:sz w:val="24"/>
          <w:szCs w:val="24"/>
        </w:rPr>
        <w:t>Portanto, o software possui</w:t>
      </w:r>
      <w:r w:rsidRPr="00301909">
        <w:rPr>
          <w:sz w:val="24"/>
          <w:szCs w:val="24"/>
        </w:rPr>
        <w:t xml:space="preserve"> </w:t>
      </w:r>
      <w:r>
        <w:rPr>
          <w:sz w:val="24"/>
          <w:szCs w:val="24"/>
        </w:rPr>
        <w:t>“</w:t>
      </w:r>
      <w:r w:rsidRPr="00301909">
        <w:rPr>
          <w:sz w:val="24"/>
          <w:szCs w:val="24"/>
        </w:rPr>
        <w:t>natureza de</w:t>
      </w:r>
      <w:r>
        <w:rPr>
          <w:sz w:val="24"/>
          <w:szCs w:val="24"/>
        </w:rPr>
        <w:t xml:space="preserve"> </w:t>
      </w:r>
      <w:r w:rsidRPr="00301909">
        <w:rPr>
          <w:sz w:val="24"/>
          <w:szCs w:val="24"/>
        </w:rPr>
        <w:t>bem intangível</w:t>
      </w:r>
      <w:r>
        <w:rPr>
          <w:sz w:val="24"/>
          <w:szCs w:val="24"/>
        </w:rPr>
        <w:t>,</w:t>
      </w:r>
      <w:r w:rsidRPr="00301909">
        <w:rPr>
          <w:sz w:val="24"/>
          <w:szCs w:val="24"/>
        </w:rPr>
        <w:t xml:space="preserve"> que não se</w:t>
      </w:r>
      <w:r>
        <w:rPr>
          <w:sz w:val="24"/>
          <w:szCs w:val="24"/>
        </w:rPr>
        <w:t xml:space="preserve"> </w:t>
      </w:r>
      <w:r w:rsidRPr="00301909">
        <w:rPr>
          <w:sz w:val="24"/>
          <w:szCs w:val="24"/>
        </w:rPr>
        <w:t>confunde com o suporte físico que o veicula, consistindo em propriedade intelectual sujeita à disciplina própria</w:t>
      </w:r>
      <w:r>
        <w:rPr>
          <w:sz w:val="24"/>
          <w:szCs w:val="24"/>
        </w:rPr>
        <w:t xml:space="preserve"> dos </w:t>
      </w:r>
      <w:r w:rsidRPr="00301909">
        <w:rPr>
          <w:sz w:val="24"/>
          <w:szCs w:val="24"/>
        </w:rPr>
        <w:t>direitos de autor</w:t>
      </w:r>
      <w:r>
        <w:rPr>
          <w:sz w:val="24"/>
          <w:szCs w:val="24"/>
        </w:rPr>
        <w:t>”.</w:t>
      </w:r>
      <w:r>
        <w:rPr>
          <w:rStyle w:val="Refdenotaderodap"/>
          <w:sz w:val="24"/>
          <w:szCs w:val="24"/>
        </w:rPr>
        <w:footnoteReference w:id="2"/>
      </w:r>
    </w:p>
    <w:p w14:paraId="5050E0C8" w14:textId="77777777" w:rsidR="00810283" w:rsidRPr="0085100E" w:rsidRDefault="00810283" w:rsidP="00301909">
      <w:pPr>
        <w:ind w:right="-1" w:firstLine="567"/>
        <w:jc w:val="both"/>
        <w:rPr>
          <w:sz w:val="24"/>
          <w:szCs w:val="24"/>
        </w:rPr>
      </w:pPr>
    </w:p>
    <w:p w14:paraId="60DAB671" w14:textId="010C106A" w:rsidR="00595210" w:rsidRPr="0085100E" w:rsidRDefault="00595210" w:rsidP="0085100E">
      <w:pPr>
        <w:ind w:right="-1" w:firstLine="567"/>
        <w:jc w:val="both"/>
        <w:rPr>
          <w:sz w:val="24"/>
          <w:szCs w:val="24"/>
        </w:rPr>
      </w:pPr>
      <w:r w:rsidRPr="0085100E">
        <w:rPr>
          <w:sz w:val="24"/>
          <w:szCs w:val="24"/>
        </w:rPr>
        <w:t xml:space="preserve">Em síntese, o </w:t>
      </w:r>
      <w:r w:rsidRPr="0085100E">
        <w:rPr>
          <w:sz w:val="24"/>
          <w:szCs w:val="24"/>
          <w:u w:val="single"/>
        </w:rPr>
        <w:t>software customizado</w:t>
      </w:r>
      <w:r w:rsidRPr="0085100E">
        <w:rPr>
          <w:sz w:val="24"/>
          <w:szCs w:val="24"/>
        </w:rPr>
        <w:t xml:space="preserve"> é desenvolvido especificamente para atender às necessidades de um cliente específico. Esse tipo de software é feito sob encomenda e não é vendido em massa. </w:t>
      </w:r>
      <w:r w:rsidRPr="0085100E">
        <w:rPr>
          <w:bCs/>
          <w:sz w:val="24"/>
          <w:szCs w:val="24"/>
        </w:rPr>
        <w:t>Esse tipo de software e</w:t>
      </w:r>
      <w:r w:rsidRPr="0085100E">
        <w:rPr>
          <w:sz w:val="24"/>
          <w:szCs w:val="24"/>
        </w:rPr>
        <w:t>nvolve a criação de um programa que atende exatamente às especificações e necessidades do cliente.</w:t>
      </w:r>
      <w:r w:rsidRPr="0085100E">
        <w:rPr>
          <w:b/>
          <w:bCs/>
          <w:sz w:val="24"/>
          <w:szCs w:val="24"/>
        </w:rPr>
        <w:t xml:space="preserve"> </w:t>
      </w:r>
      <w:r w:rsidRPr="0085100E">
        <w:rPr>
          <w:bCs/>
          <w:sz w:val="24"/>
          <w:szCs w:val="24"/>
        </w:rPr>
        <w:t>Não obstante, r</w:t>
      </w:r>
      <w:r w:rsidRPr="0085100E">
        <w:rPr>
          <w:sz w:val="24"/>
          <w:szCs w:val="24"/>
        </w:rPr>
        <w:t>equer um serviço especializado de desenvolvimento, o que caracteriza a prestação de serviços.</w:t>
      </w:r>
    </w:p>
    <w:p w14:paraId="46DE75A5" w14:textId="5F540B30" w:rsidR="00595210" w:rsidRPr="0085100E" w:rsidRDefault="00595210" w:rsidP="0085100E">
      <w:pPr>
        <w:ind w:right="-1" w:firstLine="567"/>
        <w:jc w:val="both"/>
        <w:rPr>
          <w:sz w:val="24"/>
          <w:szCs w:val="24"/>
        </w:rPr>
      </w:pPr>
    </w:p>
    <w:p w14:paraId="329178B1" w14:textId="61BBB1A9" w:rsidR="00595210" w:rsidRPr="0085100E" w:rsidRDefault="00595210" w:rsidP="0085100E">
      <w:pPr>
        <w:ind w:right="-1" w:firstLine="567"/>
        <w:jc w:val="both"/>
        <w:rPr>
          <w:sz w:val="24"/>
          <w:szCs w:val="24"/>
        </w:rPr>
      </w:pPr>
      <w:r w:rsidRPr="0085100E">
        <w:rPr>
          <w:sz w:val="24"/>
          <w:szCs w:val="24"/>
        </w:rPr>
        <w:t xml:space="preserve">Por outro lado, o </w:t>
      </w:r>
      <w:r w:rsidRPr="0085100E">
        <w:rPr>
          <w:sz w:val="24"/>
          <w:szCs w:val="24"/>
          <w:u w:val="single"/>
        </w:rPr>
        <w:t>s</w:t>
      </w:r>
      <w:r w:rsidR="00A96A1C" w:rsidRPr="0085100E">
        <w:rPr>
          <w:sz w:val="24"/>
          <w:szCs w:val="24"/>
          <w:u w:val="single"/>
        </w:rPr>
        <w:t xml:space="preserve">oftware </w:t>
      </w:r>
      <w:r w:rsidR="00A96A1C" w:rsidRPr="0085100E">
        <w:rPr>
          <w:sz w:val="24"/>
          <w:szCs w:val="24"/>
          <w:u w:val="single"/>
          <w:shd w:val="clear" w:color="auto" w:fill="FFFFFF"/>
        </w:rPr>
        <w:t>“de prateleira</w:t>
      </w:r>
      <w:r w:rsidR="00A96A1C" w:rsidRPr="0085100E">
        <w:rPr>
          <w:sz w:val="24"/>
          <w:szCs w:val="24"/>
          <w:shd w:val="clear" w:color="auto" w:fill="FFFFFF"/>
        </w:rPr>
        <w:t>” (</w:t>
      </w:r>
      <w:r w:rsidR="00A96A1C" w:rsidRPr="0085100E">
        <w:rPr>
          <w:i/>
          <w:sz w:val="24"/>
          <w:szCs w:val="24"/>
          <w:shd w:val="clear" w:color="auto" w:fill="FFFFFF"/>
        </w:rPr>
        <w:t xml:space="preserve">off </w:t>
      </w:r>
      <w:proofErr w:type="spellStart"/>
      <w:r w:rsidR="00A96A1C" w:rsidRPr="0085100E">
        <w:rPr>
          <w:i/>
          <w:sz w:val="24"/>
          <w:szCs w:val="24"/>
          <w:shd w:val="clear" w:color="auto" w:fill="FFFFFF"/>
        </w:rPr>
        <w:t>the</w:t>
      </w:r>
      <w:proofErr w:type="spellEnd"/>
      <w:r w:rsidR="00A96A1C" w:rsidRPr="0085100E">
        <w:rPr>
          <w:i/>
          <w:sz w:val="24"/>
          <w:szCs w:val="24"/>
          <w:shd w:val="clear" w:color="auto" w:fill="FFFFFF"/>
        </w:rPr>
        <w:t xml:space="preserve"> </w:t>
      </w:r>
      <w:proofErr w:type="spellStart"/>
      <w:r w:rsidR="00A96A1C" w:rsidRPr="0085100E">
        <w:rPr>
          <w:i/>
          <w:sz w:val="24"/>
          <w:szCs w:val="24"/>
          <w:shd w:val="clear" w:color="auto" w:fill="FFFFFF"/>
        </w:rPr>
        <w:t>shelf</w:t>
      </w:r>
      <w:proofErr w:type="spellEnd"/>
      <w:r w:rsidR="00A96A1C" w:rsidRPr="0085100E">
        <w:rPr>
          <w:sz w:val="24"/>
          <w:szCs w:val="24"/>
          <w:shd w:val="clear" w:color="auto" w:fill="FFFFFF"/>
        </w:rPr>
        <w:t xml:space="preserve">) </w:t>
      </w:r>
      <w:r w:rsidRPr="0085100E">
        <w:rPr>
          <w:sz w:val="24"/>
          <w:szCs w:val="24"/>
        </w:rPr>
        <w:t>é um programa desenvolvido para ser vendido em massa sem personalizações específicas para um cliente. É geralmente comercializado em lojas físicas ou online</w:t>
      </w:r>
      <w:r w:rsidR="00E74C7D" w:rsidRPr="0085100E">
        <w:rPr>
          <w:sz w:val="24"/>
          <w:szCs w:val="24"/>
        </w:rPr>
        <w:t xml:space="preserve">. </w:t>
      </w:r>
      <w:r w:rsidR="00E74C7D" w:rsidRPr="0085100E">
        <w:rPr>
          <w:bCs/>
          <w:sz w:val="24"/>
          <w:szCs w:val="24"/>
        </w:rPr>
        <w:t>Há uma p</w:t>
      </w:r>
      <w:r w:rsidRPr="0085100E">
        <w:rPr>
          <w:bCs/>
          <w:sz w:val="24"/>
          <w:szCs w:val="24"/>
        </w:rPr>
        <w:t xml:space="preserve">rodução em </w:t>
      </w:r>
      <w:r w:rsidR="00E74C7D" w:rsidRPr="0085100E">
        <w:rPr>
          <w:bCs/>
          <w:sz w:val="24"/>
          <w:szCs w:val="24"/>
        </w:rPr>
        <w:t>larga escala (é d</w:t>
      </w:r>
      <w:r w:rsidRPr="0085100E">
        <w:rPr>
          <w:sz w:val="24"/>
          <w:szCs w:val="24"/>
        </w:rPr>
        <w:t>esenvolvido de forma padronizada e produzido em grande quantidade para atender um mercado amplo</w:t>
      </w:r>
      <w:r w:rsidR="00E74C7D" w:rsidRPr="0085100E">
        <w:rPr>
          <w:sz w:val="24"/>
          <w:szCs w:val="24"/>
        </w:rPr>
        <w:t>) e há d</w:t>
      </w:r>
      <w:r w:rsidRPr="0085100E">
        <w:rPr>
          <w:bCs/>
          <w:sz w:val="24"/>
          <w:szCs w:val="24"/>
        </w:rPr>
        <w:t xml:space="preserve">isponibilidade </w:t>
      </w:r>
      <w:r w:rsidR="00E74C7D" w:rsidRPr="0085100E">
        <w:rPr>
          <w:bCs/>
          <w:sz w:val="24"/>
          <w:szCs w:val="24"/>
        </w:rPr>
        <w:t>geral (é v</w:t>
      </w:r>
      <w:r w:rsidRPr="0085100E">
        <w:rPr>
          <w:sz w:val="24"/>
          <w:szCs w:val="24"/>
        </w:rPr>
        <w:t>endido a qualquer consumidor, sem adaptação ou personalização para o usuário final</w:t>
      </w:r>
      <w:r w:rsidR="00E74C7D" w:rsidRPr="0085100E">
        <w:rPr>
          <w:sz w:val="24"/>
          <w:szCs w:val="24"/>
        </w:rPr>
        <w:t>)</w:t>
      </w:r>
      <w:r w:rsidR="001E28F9" w:rsidRPr="0085100E">
        <w:rPr>
          <w:rStyle w:val="Refdenotaderodap"/>
          <w:sz w:val="24"/>
          <w:szCs w:val="24"/>
        </w:rPr>
        <w:footnoteReference w:id="3"/>
      </w:r>
      <w:r w:rsidRPr="0085100E">
        <w:rPr>
          <w:sz w:val="24"/>
          <w:szCs w:val="24"/>
        </w:rPr>
        <w:t>.</w:t>
      </w:r>
    </w:p>
    <w:p w14:paraId="363E2A59" w14:textId="77777777" w:rsidR="00595210" w:rsidRPr="0085100E" w:rsidRDefault="00595210" w:rsidP="0085100E">
      <w:pPr>
        <w:ind w:right="-1" w:firstLine="567"/>
        <w:jc w:val="both"/>
        <w:rPr>
          <w:sz w:val="24"/>
          <w:szCs w:val="24"/>
        </w:rPr>
      </w:pPr>
    </w:p>
    <w:p w14:paraId="1A9DE9E6" w14:textId="64017E5E" w:rsidR="004874C4" w:rsidRPr="0085100E" w:rsidRDefault="004874C4" w:rsidP="0085100E">
      <w:pPr>
        <w:ind w:right="-1" w:firstLine="567"/>
        <w:jc w:val="both"/>
        <w:rPr>
          <w:sz w:val="24"/>
          <w:szCs w:val="24"/>
        </w:rPr>
      </w:pPr>
      <w:r w:rsidRPr="0085100E">
        <w:rPr>
          <w:sz w:val="24"/>
          <w:szCs w:val="24"/>
        </w:rPr>
        <w:t>Na</w:t>
      </w:r>
      <w:r w:rsidR="00E74C7D" w:rsidRPr="0085100E">
        <w:rPr>
          <w:sz w:val="24"/>
          <w:szCs w:val="24"/>
        </w:rPr>
        <w:t xml:space="preserve"> mencionada</w:t>
      </w:r>
      <w:r w:rsidRPr="0085100E">
        <w:rPr>
          <w:sz w:val="24"/>
          <w:szCs w:val="24"/>
        </w:rPr>
        <w:t xml:space="preserve"> discussão, era observado, por exemplo, que o software customizado tinha um serviço embutido em sua venda, uma obrigação de fazer, que era um serviço de criar algo diferente no software para uso exclusivo daquele usuário, ou, ainda, ajuda-lo no uso do software depois da venda. Dentre outros argumentos, em razão desse serviço, que era, de certa forma, embutido na venda do software, justificava-se a cobrança de ISS para o software customizado</w:t>
      </w:r>
      <w:r w:rsidR="007E5B39" w:rsidRPr="0085100E">
        <w:rPr>
          <w:rStyle w:val="Refdenotaderodap"/>
          <w:sz w:val="24"/>
          <w:szCs w:val="24"/>
        </w:rPr>
        <w:footnoteReference w:id="4"/>
      </w:r>
      <w:r w:rsidRPr="0085100E">
        <w:rPr>
          <w:sz w:val="24"/>
          <w:szCs w:val="24"/>
        </w:rPr>
        <w:t>.</w:t>
      </w:r>
    </w:p>
    <w:p w14:paraId="4CD305BE" w14:textId="77777777" w:rsidR="00595210" w:rsidRPr="0085100E" w:rsidRDefault="00595210" w:rsidP="0085100E">
      <w:pPr>
        <w:ind w:right="-1" w:firstLine="567"/>
        <w:jc w:val="both"/>
        <w:rPr>
          <w:sz w:val="24"/>
          <w:szCs w:val="24"/>
        </w:rPr>
      </w:pPr>
    </w:p>
    <w:p w14:paraId="4A181716" w14:textId="0E090BC5" w:rsidR="00595210" w:rsidRPr="0085100E" w:rsidRDefault="00595210" w:rsidP="0085100E">
      <w:pPr>
        <w:ind w:right="-1" w:firstLine="567"/>
        <w:jc w:val="both"/>
        <w:rPr>
          <w:sz w:val="24"/>
          <w:szCs w:val="24"/>
        </w:rPr>
      </w:pPr>
      <w:r w:rsidRPr="0085100E">
        <w:rPr>
          <w:sz w:val="24"/>
          <w:szCs w:val="24"/>
        </w:rPr>
        <w:t>Ademais, atualmente, os softwares de prateleira, praticamente não existem mais, posto que caíram em desuso.</w:t>
      </w:r>
    </w:p>
    <w:p w14:paraId="76C633D4" w14:textId="2CBF5237" w:rsidR="004874C4" w:rsidRPr="0085100E" w:rsidRDefault="004874C4" w:rsidP="0085100E">
      <w:pPr>
        <w:ind w:right="-1" w:firstLine="567"/>
        <w:jc w:val="both"/>
        <w:rPr>
          <w:sz w:val="24"/>
          <w:szCs w:val="24"/>
        </w:rPr>
      </w:pPr>
    </w:p>
    <w:p w14:paraId="42C1C7BF" w14:textId="42F7DEFE" w:rsidR="004874C4" w:rsidRPr="0085100E" w:rsidRDefault="004874C4" w:rsidP="0085100E">
      <w:pPr>
        <w:ind w:right="-1" w:firstLine="567"/>
        <w:jc w:val="both"/>
        <w:rPr>
          <w:sz w:val="24"/>
          <w:szCs w:val="24"/>
        </w:rPr>
      </w:pPr>
      <w:r w:rsidRPr="0085100E">
        <w:rPr>
          <w:sz w:val="24"/>
          <w:szCs w:val="24"/>
        </w:rPr>
        <w:t>A discussão se arrastou até 2021, quando o STF se baseou em outros critérios, além da natureza jurídica do software, para determinar que seria pago o mesmo tributo para ambos, tanto o customizado, quanto o de prateleira.</w:t>
      </w:r>
    </w:p>
    <w:p w14:paraId="4DA0B097" w14:textId="28A36527" w:rsidR="004874C4" w:rsidRPr="0085100E" w:rsidRDefault="004874C4" w:rsidP="0085100E">
      <w:pPr>
        <w:ind w:right="-1" w:firstLine="567"/>
        <w:jc w:val="both"/>
        <w:rPr>
          <w:sz w:val="24"/>
          <w:szCs w:val="24"/>
        </w:rPr>
      </w:pPr>
    </w:p>
    <w:p w14:paraId="3DDDAD91" w14:textId="280E78AF" w:rsidR="005F4D77" w:rsidRDefault="005F4D77" w:rsidP="0085100E">
      <w:pPr>
        <w:ind w:right="-1" w:firstLine="567"/>
        <w:jc w:val="both"/>
        <w:rPr>
          <w:sz w:val="24"/>
          <w:szCs w:val="24"/>
        </w:rPr>
      </w:pPr>
      <w:r w:rsidRPr="0085100E">
        <w:rPr>
          <w:sz w:val="24"/>
          <w:szCs w:val="24"/>
        </w:rPr>
        <w:t>A</w:t>
      </w:r>
      <w:r w:rsidR="00595210" w:rsidRPr="0085100E">
        <w:rPr>
          <w:sz w:val="24"/>
          <w:szCs w:val="24"/>
        </w:rPr>
        <w:t>ssim, antes da determinação recente (de 2021) do STF, a</w:t>
      </w:r>
      <w:r w:rsidRPr="0085100E">
        <w:rPr>
          <w:sz w:val="24"/>
          <w:szCs w:val="24"/>
        </w:rPr>
        <w:t xml:space="preserve"> empresa Software Ltda precisa</w:t>
      </w:r>
      <w:r w:rsidR="00595210" w:rsidRPr="0085100E">
        <w:rPr>
          <w:sz w:val="24"/>
          <w:szCs w:val="24"/>
        </w:rPr>
        <w:t>ria</w:t>
      </w:r>
      <w:r w:rsidRPr="0085100E">
        <w:rPr>
          <w:sz w:val="24"/>
          <w:szCs w:val="24"/>
        </w:rPr>
        <w:t xml:space="preserve"> observar as diferentes naturezas de seus produtos para cumprir corretamente com as obrigações tributárias. </w:t>
      </w:r>
      <w:r w:rsidR="00595210" w:rsidRPr="0085100E">
        <w:rPr>
          <w:sz w:val="24"/>
          <w:szCs w:val="24"/>
        </w:rPr>
        <w:t xml:space="preserve">Porém, após essa decisão do STF, não importa mais saber </w:t>
      </w:r>
      <w:r w:rsidR="00595210" w:rsidRPr="0085100E">
        <w:rPr>
          <w:sz w:val="24"/>
          <w:szCs w:val="24"/>
        </w:rPr>
        <w:lastRenderedPageBreak/>
        <w:t>se o software é customizado ou de prateleira, pois para ambos é devido o pagamento de ISS, somente (e não mais ICMS).</w:t>
      </w:r>
    </w:p>
    <w:p w14:paraId="16997331" w14:textId="77777777" w:rsidR="00727ADD" w:rsidRDefault="00727ADD" w:rsidP="0085100E">
      <w:pPr>
        <w:ind w:right="-1" w:firstLine="567"/>
        <w:jc w:val="both"/>
        <w:rPr>
          <w:sz w:val="24"/>
          <w:szCs w:val="24"/>
        </w:rPr>
      </w:pPr>
    </w:p>
    <w:p w14:paraId="4011F134" w14:textId="0C0D57E2" w:rsidR="00727ADD" w:rsidRDefault="00727ADD" w:rsidP="0085100E">
      <w:pPr>
        <w:ind w:right="-1" w:firstLine="567"/>
        <w:jc w:val="both"/>
        <w:rPr>
          <w:sz w:val="24"/>
          <w:szCs w:val="24"/>
        </w:rPr>
      </w:pPr>
      <w:r>
        <w:rPr>
          <w:sz w:val="24"/>
          <w:szCs w:val="24"/>
        </w:rPr>
        <w:t xml:space="preserve">O fim à essa discussão foi dado pelo STF, em fevereiro de 2021, com o julgamento das </w:t>
      </w:r>
      <w:proofErr w:type="spellStart"/>
      <w:r w:rsidRPr="00727ADD">
        <w:rPr>
          <w:sz w:val="24"/>
          <w:szCs w:val="24"/>
        </w:rPr>
        <w:t>ADIs</w:t>
      </w:r>
      <w:proofErr w:type="spellEnd"/>
      <w:r w:rsidRPr="00727ADD">
        <w:rPr>
          <w:sz w:val="24"/>
          <w:szCs w:val="24"/>
        </w:rPr>
        <w:t xml:space="preserve"> (Ações Diretas de Inconstitucionalidades) 1945 e 5659</w:t>
      </w:r>
      <w:r>
        <w:rPr>
          <w:sz w:val="24"/>
          <w:szCs w:val="24"/>
        </w:rPr>
        <w:t xml:space="preserve">. O </w:t>
      </w:r>
      <w:r w:rsidRPr="00727ADD">
        <w:rPr>
          <w:sz w:val="24"/>
          <w:szCs w:val="24"/>
        </w:rPr>
        <w:t xml:space="preserve">entendimento </w:t>
      </w:r>
      <w:r>
        <w:rPr>
          <w:sz w:val="24"/>
          <w:szCs w:val="24"/>
        </w:rPr>
        <w:t xml:space="preserve">do tribunal foi o de que, não importa se é </w:t>
      </w:r>
      <w:r w:rsidRPr="00727ADD">
        <w:rPr>
          <w:sz w:val="24"/>
          <w:szCs w:val="24"/>
        </w:rPr>
        <w:t>software personalizado ou padronizado</w:t>
      </w:r>
      <w:r>
        <w:rPr>
          <w:sz w:val="24"/>
          <w:szCs w:val="24"/>
        </w:rPr>
        <w:t xml:space="preserve"> (“de prateleira”), </w:t>
      </w:r>
      <w:r w:rsidR="003E1A32">
        <w:rPr>
          <w:sz w:val="24"/>
          <w:szCs w:val="24"/>
        </w:rPr>
        <w:t xml:space="preserve">trata-se de um </w:t>
      </w:r>
      <w:r w:rsidR="003E1A32" w:rsidRPr="00727ADD">
        <w:rPr>
          <w:sz w:val="24"/>
          <w:szCs w:val="24"/>
        </w:rPr>
        <w:t>serviço</w:t>
      </w:r>
      <w:r w:rsidR="003E1A32">
        <w:rPr>
          <w:sz w:val="24"/>
          <w:szCs w:val="24"/>
        </w:rPr>
        <w:t xml:space="preserve"> (pois o programa é constantemente atualizado)</w:t>
      </w:r>
      <w:r w:rsidR="003E1A32">
        <w:rPr>
          <w:rStyle w:val="Refdenotaderodap"/>
          <w:sz w:val="24"/>
          <w:szCs w:val="24"/>
        </w:rPr>
        <w:footnoteReference w:id="5"/>
      </w:r>
      <w:r w:rsidR="003E1A32">
        <w:rPr>
          <w:sz w:val="24"/>
          <w:szCs w:val="24"/>
        </w:rPr>
        <w:t>.</w:t>
      </w:r>
    </w:p>
    <w:p w14:paraId="5FAD1177" w14:textId="77777777" w:rsidR="00727ADD" w:rsidRDefault="00727ADD" w:rsidP="0085100E">
      <w:pPr>
        <w:ind w:right="-1" w:firstLine="567"/>
        <w:jc w:val="both"/>
        <w:rPr>
          <w:sz w:val="24"/>
          <w:szCs w:val="24"/>
        </w:rPr>
      </w:pPr>
    </w:p>
    <w:p w14:paraId="7C585708" w14:textId="6630F456" w:rsidR="005F4D77" w:rsidRDefault="00CD365D" w:rsidP="0085100E">
      <w:pPr>
        <w:ind w:right="-1" w:firstLine="567"/>
        <w:jc w:val="both"/>
        <w:rPr>
          <w:sz w:val="24"/>
          <w:szCs w:val="24"/>
        </w:rPr>
      </w:pPr>
      <w:r>
        <w:rPr>
          <w:sz w:val="24"/>
          <w:szCs w:val="24"/>
        </w:rPr>
        <w:t xml:space="preserve">De acordo com o Ministro Dias </w:t>
      </w:r>
      <w:r w:rsidRPr="00CD365D">
        <w:rPr>
          <w:sz w:val="24"/>
          <w:szCs w:val="24"/>
        </w:rPr>
        <w:t>Toffoli</w:t>
      </w:r>
      <w:r>
        <w:rPr>
          <w:sz w:val="24"/>
          <w:szCs w:val="24"/>
        </w:rPr>
        <w:t>,</w:t>
      </w:r>
      <w:r w:rsidRPr="00CD365D">
        <w:rPr>
          <w:sz w:val="24"/>
          <w:szCs w:val="24"/>
        </w:rPr>
        <w:t xml:space="preserve"> tanto no fornecimento personalizado por meio do comércio eletrônico direto quanto no licenciamento ou na cessão de direito de uso</w:t>
      </w:r>
      <w:r>
        <w:rPr>
          <w:sz w:val="24"/>
          <w:szCs w:val="24"/>
        </w:rPr>
        <w:t xml:space="preserve">, há </w:t>
      </w:r>
      <w:r w:rsidRPr="00CD365D">
        <w:rPr>
          <w:sz w:val="24"/>
          <w:szCs w:val="24"/>
        </w:rPr>
        <w:t xml:space="preserve">a obrigação de fazer na confecção do </w:t>
      </w:r>
      <w:r>
        <w:rPr>
          <w:sz w:val="24"/>
          <w:szCs w:val="24"/>
        </w:rPr>
        <w:t>software</w:t>
      </w:r>
      <w:r w:rsidRPr="00CD365D">
        <w:rPr>
          <w:sz w:val="24"/>
          <w:szCs w:val="24"/>
        </w:rPr>
        <w:t>, no esforço intelectual e, ainda, nos demais serviços prestados ao usuário</w:t>
      </w:r>
      <w:r>
        <w:rPr>
          <w:sz w:val="24"/>
          <w:szCs w:val="24"/>
        </w:rPr>
        <w:t>.</w:t>
      </w:r>
    </w:p>
    <w:p w14:paraId="5B4C0CED" w14:textId="77777777" w:rsidR="00CD365D" w:rsidRDefault="00CD365D" w:rsidP="0085100E">
      <w:pPr>
        <w:ind w:right="-1" w:firstLine="567"/>
        <w:jc w:val="both"/>
        <w:rPr>
          <w:sz w:val="24"/>
          <w:szCs w:val="24"/>
        </w:rPr>
      </w:pPr>
    </w:p>
    <w:p w14:paraId="344BBD65" w14:textId="18672984" w:rsidR="00AE5F13" w:rsidRDefault="00AE5F13" w:rsidP="0085100E">
      <w:pPr>
        <w:ind w:right="-1" w:firstLine="567"/>
        <w:jc w:val="both"/>
        <w:rPr>
          <w:sz w:val="24"/>
          <w:szCs w:val="24"/>
        </w:rPr>
      </w:pPr>
      <w:r>
        <w:rPr>
          <w:sz w:val="24"/>
          <w:szCs w:val="24"/>
        </w:rPr>
        <w:t>Nos termos do acórdão da ADI 1945:</w:t>
      </w:r>
    </w:p>
    <w:p w14:paraId="3510A3DD" w14:textId="77777777" w:rsidR="00AE5F13" w:rsidRDefault="00AE5F13" w:rsidP="0085100E">
      <w:pPr>
        <w:ind w:right="-1" w:firstLine="567"/>
        <w:jc w:val="both"/>
        <w:rPr>
          <w:sz w:val="24"/>
          <w:szCs w:val="24"/>
        </w:rPr>
      </w:pPr>
    </w:p>
    <w:p w14:paraId="1DD5CAB8" w14:textId="63D876D9" w:rsidR="00AE5F13" w:rsidRPr="00AE5F13" w:rsidRDefault="00AE5F13" w:rsidP="00AE5F13">
      <w:pPr>
        <w:ind w:left="2268" w:right="-1"/>
        <w:jc w:val="both"/>
      </w:pPr>
      <w:r>
        <w:t xml:space="preserve">“(...) </w:t>
      </w:r>
      <w:r w:rsidRPr="00AE5F13">
        <w:t xml:space="preserve">4. O legislador complementar, amparado especialmente nos </w:t>
      </w:r>
      <w:proofErr w:type="spellStart"/>
      <w:r w:rsidRPr="00AE5F13">
        <w:t>arts</w:t>
      </w:r>
      <w:proofErr w:type="spellEnd"/>
      <w:r w:rsidRPr="00AE5F13">
        <w:t>.</w:t>
      </w:r>
      <w:r w:rsidRPr="00AE5F13">
        <w:t xml:space="preserve"> </w:t>
      </w:r>
      <w:r w:rsidRPr="00AE5F13">
        <w:t>146, I, e 156, III, da Constituição Federal, buscou dirimir conflitos de</w:t>
      </w:r>
      <w:r w:rsidRPr="00AE5F13">
        <w:t xml:space="preserve"> </w:t>
      </w:r>
      <w:r w:rsidRPr="00AE5F13">
        <w:t>competência em matéria tributária envolvendo softwares elencando, no</w:t>
      </w:r>
      <w:r w:rsidRPr="00AE5F13">
        <w:t xml:space="preserve"> </w:t>
      </w:r>
      <w:r w:rsidRPr="00AE5F13">
        <w:t>subitem 1.05 da lista de serviços tributáveis pelo ISS anexa à LC nº 116/03,</w:t>
      </w:r>
      <w:r w:rsidRPr="00AE5F13">
        <w:t xml:space="preserve"> </w:t>
      </w:r>
      <w:r w:rsidRPr="00AE5F13">
        <w:t>o licenciamento e a cessão de direito de uso de programas de</w:t>
      </w:r>
      <w:r w:rsidRPr="00AE5F13">
        <w:t xml:space="preserve"> </w:t>
      </w:r>
      <w:r w:rsidRPr="00AE5F13">
        <w:t>computação. É certo, ademais, que, conforme a Lei nº 9.609/98, o uso de</w:t>
      </w:r>
      <w:r w:rsidRPr="00AE5F13">
        <w:t xml:space="preserve"> </w:t>
      </w:r>
      <w:r w:rsidRPr="00AE5F13">
        <w:t>programa de computador no País é objeto de contrato de licença.</w:t>
      </w:r>
    </w:p>
    <w:p w14:paraId="767057FD" w14:textId="0D28F7A7" w:rsidR="00AE5F13" w:rsidRPr="00AE5F13" w:rsidRDefault="00AE5F13" w:rsidP="00AE5F13">
      <w:pPr>
        <w:ind w:left="2268" w:right="-1"/>
        <w:jc w:val="both"/>
      </w:pPr>
      <w:r w:rsidRPr="00AE5F13">
        <w:t>5. Associa-se a isso a noção de que software é produto do engenho</w:t>
      </w:r>
      <w:r w:rsidRPr="00AE5F13">
        <w:t xml:space="preserve"> </w:t>
      </w:r>
      <w:r w:rsidRPr="00AE5F13">
        <w:t>humano, é criação intelectual.</w:t>
      </w:r>
      <w:r w:rsidRPr="00AE5F13">
        <w:t xml:space="preserve"> </w:t>
      </w:r>
      <w:r w:rsidRPr="00AE5F13">
        <w:t>Ou seja, é imprescindível a existência de</w:t>
      </w:r>
      <w:r w:rsidRPr="00AE5F13">
        <w:t xml:space="preserve"> </w:t>
      </w:r>
      <w:r w:rsidRPr="00AE5F13">
        <w:t>esforço humano direcionado para a construção de um programa de</w:t>
      </w:r>
      <w:r w:rsidRPr="00AE5F13">
        <w:t xml:space="preserve"> </w:t>
      </w:r>
      <w:r w:rsidRPr="00AE5F13">
        <w:t>computador (obrigação de fazer), não podendo isso ser desconsiderado</w:t>
      </w:r>
      <w:r w:rsidRPr="00AE5F13">
        <w:t xml:space="preserve"> </w:t>
      </w:r>
      <w:r w:rsidRPr="00AE5F13">
        <w:t>quando se trata de qualquer tipo de software. A obrigação de fazer</w:t>
      </w:r>
      <w:r w:rsidRPr="00AE5F13">
        <w:t xml:space="preserve"> </w:t>
      </w:r>
      <w:r w:rsidRPr="00AE5F13">
        <w:t>também se encontra presente nos demais serviços prestados ao usuário,</w:t>
      </w:r>
      <w:r w:rsidRPr="00AE5F13">
        <w:t xml:space="preserve"> </w:t>
      </w:r>
      <w:r w:rsidRPr="00AE5F13">
        <w:t xml:space="preserve">como, v.g., o help </w:t>
      </w:r>
      <w:proofErr w:type="spellStart"/>
      <w:r w:rsidRPr="00AE5F13">
        <w:t>desk</w:t>
      </w:r>
      <w:proofErr w:type="spellEnd"/>
      <w:r w:rsidRPr="00AE5F13">
        <w:t xml:space="preserve"> e a disponibilização de manuais, atualizações e</w:t>
      </w:r>
      <w:r w:rsidRPr="00AE5F13">
        <w:t xml:space="preserve"> </w:t>
      </w:r>
      <w:r w:rsidRPr="00AE5F13">
        <w:t>outras funcionalidades previstas no contrato de licenciamento.</w:t>
      </w:r>
    </w:p>
    <w:p w14:paraId="58E83F3E" w14:textId="5A4EB6F6" w:rsidR="00AE5F13" w:rsidRPr="00AE5F13" w:rsidRDefault="00AE5F13" w:rsidP="00AE5F13">
      <w:pPr>
        <w:ind w:left="2268" w:right="-1"/>
        <w:jc w:val="both"/>
      </w:pPr>
      <w:r w:rsidRPr="00AE5F13">
        <w:t>6. Igualmente há prestação de serviço no modelo denominado</w:t>
      </w:r>
      <w:r w:rsidRPr="00AE5F13">
        <w:t xml:space="preserve"> </w:t>
      </w:r>
      <w:r w:rsidRPr="00AE5F13">
        <w:t>software-as-a-Service (SaaS), o qual se caracteriza pelo acesso do</w:t>
      </w:r>
      <w:r w:rsidRPr="00AE5F13">
        <w:t xml:space="preserve"> </w:t>
      </w:r>
      <w:r w:rsidRPr="00AE5F13">
        <w:t>consumidor a aplicativos disponibilizados pelo fornecedor na rede</w:t>
      </w:r>
      <w:r w:rsidRPr="00AE5F13">
        <w:t xml:space="preserve"> </w:t>
      </w:r>
      <w:r w:rsidRPr="00AE5F13">
        <w:t>mundial de computadores, ou seja, o aplicativo utilizado pelo</w:t>
      </w:r>
      <w:r w:rsidRPr="00AE5F13">
        <w:t xml:space="preserve"> </w:t>
      </w:r>
      <w:r w:rsidRPr="00AE5F13">
        <w:t>consumidor não é armazenado no disco rígido do computador do</w:t>
      </w:r>
      <w:r w:rsidRPr="00AE5F13">
        <w:t xml:space="preserve"> </w:t>
      </w:r>
      <w:r w:rsidRPr="00AE5F13">
        <w:t>usuário, permanecendo online em tempo integral, daí por que se diz que</w:t>
      </w:r>
      <w:r w:rsidRPr="00AE5F13">
        <w:t xml:space="preserve"> </w:t>
      </w:r>
      <w:r w:rsidRPr="00AE5F13">
        <w:t>o aplicativo está localizado na nuvem, circunstância atrativa da incidência</w:t>
      </w:r>
      <w:r w:rsidRPr="00AE5F13">
        <w:t xml:space="preserve"> </w:t>
      </w:r>
      <w:r w:rsidRPr="00AE5F13">
        <w:t>do ISS.</w:t>
      </w:r>
      <w:r>
        <w:t xml:space="preserve"> (...)”</w:t>
      </w:r>
    </w:p>
    <w:p w14:paraId="15BD4639" w14:textId="77777777" w:rsidR="00AE5F13" w:rsidRPr="0085100E" w:rsidRDefault="00AE5F13" w:rsidP="0085100E">
      <w:pPr>
        <w:ind w:right="-1" w:firstLine="567"/>
        <w:jc w:val="both"/>
        <w:rPr>
          <w:sz w:val="24"/>
          <w:szCs w:val="24"/>
        </w:rPr>
      </w:pPr>
    </w:p>
    <w:p w14:paraId="6B631DBA" w14:textId="74242D01" w:rsidR="00595210" w:rsidRPr="0085100E" w:rsidRDefault="00881721" w:rsidP="0085100E">
      <w:pPr>
        <w:ind w:right="-1" w:firstLine="567"/>
        <w:jc w:val="both"/>
        <w:rPr>
          <w:sz w:val="24"/>
          <w:szCs w:val="24"/>
        </w:rPr>
      </w:pPr>
      <w:r w:rsidRPr="0085100E">
        <w:rPr>
          <w:sz w:val="24"/>
          <w:szCs w:val="24"/>
        </w:rPr>
        <w:t>Conforme a ADI 5576 (</w:t>
      </w:r>
      <w:r w:rsidRPr="0085100E">
        <w:rPr>
          <w:sz w:val="24"/>
          <w:szCs w:val="24"/>
          <w:shd w:val="clear" w:color="auto" w:fill="FFFFFF"/>
        </w:rPr>
        <w:t>julgado de 03/08/2021)</w:t>
      </w:r>
      <w:r w:rsidR="00301085" w:rsidRPr="0085100E">
        <w:rPr>
          <w:rStyle w:val="Refdenotaderodap"/>
          <w:sz w:val="24"/>
          <w:szCs w:val="24"/>
          <w:shd w:val="clear" w:color="auto" w:fill="FFFFFF"/>
        </w:rPr>
        <w:footnoteReference w:id="6"/>
      </w:r>
      <w:r w:rsidRPr="0085100E">
        <w:rPr>
          <w:sz w:val="24"/>
          <w:szCs w:val="24"/>
          <w:shd w:val="clear" w:color="auto" w:fill="FFFFFF"/>
        </w:rPr>
        <w:t xml:space="preserve">, deve haver incidência de ISS (e não ICMS) sobre </w:t>
      </w:r>
      <w:r w:rsidRPr="0085100E">
        <w:rPr>
          <w:sz w:val="24"/>
          <w:szCs w:val="24"/>
        </w:rPr>
        <w:t>o licenciamento ou cessão do direito de uso de programas de computador (softwares).</w:t>
      </w:r>
    </w:p>
    <w:p w14:paraId="25FD29D8" w14:textId="06EDF06E" w:rsidR="00881721" w:rsidRPr="0085100E" w:rsidRDefault="00881721" w:rsidP="0087475E">
      <w:pPr>
        <w:ind w:right="-1"/>
        <w:jc w:val="both"/>
        <w:rPr>
          <w:color w:val="3A7C22" w:themeColor="accent6" w:themeShade="BF"/>
        </w:rPr>
      </w:pPr>
    </w:p>
    <w:p w14:paraId="72ECF1CA" w14:textId="77777777" w:rsidR="0085100E" w:rsidRPr="00084DD4" w:rsidRDefault="0085100E" w:rsidP="0085100E">
      <w:pPr>
        <w:ind w:left="2268" w:right="-1"/>
        <w:jc w:val="both"/>
        <w:rPr>
          <w:sz w:val="18"/>
        </w:rPr>
      </w:pPr>
      <w:r w:rsidRPr="00084DD4">
        <w:rPr>
          <w:sz w:val="18"/>
          <w:shd w:val="clear" w:color="auto" w:fill="FFFFFF"/>
        </w:rPr>
        <w:t xml:space="preserve">Ementa: Direito constitucional e tributário. Ação direta de inconstitucionalidade. Incidência de ISS ou ICMS sobre o licenciamento ou cessão do direito de uso de programa de computador. 1. Ação direta em que se discute a validade da incidência do ICMS sobre o licenciamento ou cessão do direito de uso de programas de computador. 2. A Primeira Turma deste Supremo Tribunal Federal, no julgamento do RE 176.626, de relatoria do Min. Sepúlveda Pertence (j. em 10.11.1998), declarou a impossibilidade de incidência do ICMS sobre o licenciamento ou cessão do direito de uso de programas de computador. Isso porque essa operação tem como objeto o direito de uso de bem </w:t>
      </w:r>
      <w:r w:rsidRPr="00084DD4">
        <w:rPr>
          <w:sz w:val="18"/>
          <w:shd w:val="clear" w:color="auto" w:fill="FFFFFF"/>
        </w:rPr>
        <w:lastRenderedPageBreak/>
        <w:t xml:space="preserve">incorpóreo insuscetível de ser incluído no conceito de mercadoria. Na mesma ocasião, porém, a Turma reconheceu a constitucionalidade da incidência do ICMS sobre a circulação de cópias ou exemplares de programas de computador produzidos em série e comercializados no varejo, os chamados softwares “de prateleira” (off </w:t>
      </w:r>
      <w:proofErr w:type="spellStart"/>
      <w:r w:rsidRPr="00084DD4">
        <w:rPr>
          <w:sz w:val="18"/>
          <w:shd w:val="clear" w:color="auto" w:fill="FFFFFF"/>
        </w:rPr>
        <w:t>the</w:t>
      </w:r>
      <w:proofErr w:type="spellEnd"/>
      <w:r w:rsidRPr="00084DD4">
        <w:rPr>
          <w:sz w:val="18"/>
          <w:shd w:val="clear" w:color="auto" w:fill="FFFFFF"/>
        </w:rPr>
        <w:t xml:space="preserve"> </w:t>
      </w:r>
      <w:proofErr w:type="spellStart"/>
      <w:r w:rsidRPr="00084DD4">
        <w:rPr>
          <w:sz w:val="18"/>
          <w:shd w:val="clear" w:color="auto" w:fill="FFFFFF"/>
        </w:rPr>
        <w:t>shelf</w:t>
      </w:r>
      <w:proofErr w:type="spellEnd"/>
      <w:r w:rsidRPr="00084DD4">
        <w:rPr>
          <w:sz w:val="18"/>
          <w:shd w:val="clear" w:color="auto" w:fill="FFFFFF"/>
        </w:rPr>
        <w:t xml:space="preserve">). 3. Posteriormente, analisando de forma específica a legislação do Estado de São Paulo, a Primeira Turma reafirmou essa tese e concluiu que a comercialização e revenda de exemplares do corpus </w:t>
      </w:r>
      <w:proofErr w:type="spellStart"/>
      <w:r w:rsidRPr="00084DD4">
        <w:rPr>
          <w:sz w:val="18"/>
          <w:shd w:val="clear" w:color="auto" w:fill="FFFFFF"/>
        </w:rPr>
        <w:t>mechanicum</w:t>
      </w:r>
      <w:proofErr w:type="spellEnd"/>
      <w:r w:rsidRPr="00084DD4">
        <w:rPr>
          <w:sz w:val="18"/>
          <w:shd w:val="clear" w:color="auto" w:fill="FFFFFF"/>
        </w:rPr>
        <w:t xml:space="preserve"> da obra intelectual produzida em massa não caracterizam o licenciamento ou cessão do direito de uso da obra. Trata-se de genuínas operações de circulação de mercadorias sujeitas ao ICMS (RE 199.464, Rel. Min. Ilmar Galvão, j. em 02.03.1999). Este entendimento também foi seguido pela Segunda Turma no RE 285.870-AgR, Rel. Min. Eros Grau, j. em 17.06.2008. 4. A jurisprudência desta Corte, no entanto, recentemente foi modificada, afastando a distinção em função do caráter customizado ou não do programa de computador. 5. O Plenário deste Supremo Tribunal Federal, ao apreciar as </w:t>
      </w:r>
      <w:proofErr w:type="spellStart"/>
      <w:r w:rsidRPr="00084DD4">
        <w:rPr>
          <w:sz w:val="18"/>
          <w:shd w:val="clear" w:color="auto" w:fill="FFFFFF"/>
        </w:rPr>
        <w:t>ADIs</w:t>
      </w:r>
      <w:proofErr w:type="spellEnd"/>
      <w:r w:rsidRPr="00084DD4">
        <w:rPr>
          <w:sz w:val="18"/>
          <w:shd w:val="clear" w:color="auto" w:fill="FFFFFF"/>
        </w:rPr>
        <w:t xml:space="preserve"> 1.945 e 5.659 (j. em 24.02.2021), entendeu que as operações relativas ao licenciamento ou cessão do direito de uso de software, seja ele padronizado ou elaborado por encomenda, devem sofrer a incidência do ISS, e não do ICMS. Tais operações são mistas ou complexas, já que envolvem um dar e um fazer humano na concepção, desenvolvimento e manutenção dos programas, além “[d]o help </w:t>
      </w:r>
      <w:proofErr w:type="spellStart"/>
      <w:r w:rsidRPr="00084DD4">
        <w:rPr>
          <w:sz w:val="18"/>
          <w:shd w:val="clear" w:color="auto" w:fill="FFFFFF"/>
        </w:rPr>
        <w:t>desk</w:t>
      </w:r>
      <w:proofErr w:type="spellEnd"/>
      <w:r w:rsidRPr="00084DD4">
        <w:rPr>
          <w:sz w:val="18"/>
          <w:shd w:val="clear" w:color="auto" w:fill="FFFFFF"/>
        </w:rPr>
        <w:t xml:space="preserve">, disponibilização de manuais, atualizações tecnológicas e outras funcionalidades previstas no contrato”. Nesse contexto, o legislador complementar buscou dirimir o conflito de competência tributária (art. 146, I, da CF), no subitem 1.05 da lista de serviços tributáveis pelo ISS anexa à Lei Complementar nº 116/2003, prevendo o “licenciamento ou cessão de direito de uso de programas de computação”. Com isso, nos termos do entendimento atual desta Corte, essas operações não são passíveis de tributação pelo ICMS, independentemente do meio de disponibilização do programa. 6. Pedido conhecido em parte e, nessa parte, julgado procedente, para dar interpretação conforme a Constituição ao art. 2º da Lei Complementar nº 87/1996 e ao art. 1º da Lei do Estado de São Paulo nº 6.374/1989, de modo a impedir a incidência do ICMS sobre o licenciamento ou cessão do direito de uso de programas de computador. 7. Modulação dos efeitos desta decisão, para atribuir eficácia </w:t>
      </w:r>
      <w:proofErr w:type="spellStart"/>
      <w:r w:rsidRPr="00084DD4">
        <w:rPr>
          <w:sz w:val="18"/>
          <w:shd w:val="clear" w:color="auto" w:fill="FFFFFF"/>
        </w:rPr>
        <w:t>ex</w:t>
      </w:r>
      <w:proofErr w:type="spellEnd"/>
      <w:r w:rsidRPr="00084DD4">
        <w:rPr>
          <w:sz w:val="18"/>
          <w:shd w:val="clear" w:color="auto" w:fill="FFFFFF"/>
        </w:rPr>
        <w:t xml:space="preserve"> nunc, a contar de 03.03.2021, data em que publicada a ata de julgamento das </w:t>
      </w:r>
      <w:proofErr w:type="spellStart"/>
      <w:r w:rsidRPr="00084DD4">
        <w:rPr>
          <w:sz w:val="18"/>
          <w:shd w:val="clear" w:color="auto" w:fill="FFFFFF"/>
        </w:rPr>
        <w:t>ADIs</w:t>
      </w:r>
      <w:proofErr w:type="spellEnd"/>
      <w:r w:rsidRPr="00084DD4">
        <w:rPr>
          <w:sz w:val="18"/>
          <w:shd w:val="clear" w:color="auto" w:fill="FFFFFF"/>
        </w:rPr>
        <w:t xml:space="preserve"> 1.945 e 5.659, ressalvadas as seguintes situações: a) as ações judiciais já ajuizadas e ainda em curso em 02.03.2021; b) as hipóteses de bitributação relativas a fatos geradores ocorridos até 02.03.2021, nas quais será devida a restituição do ICMS recolhido, respeitado o prazo prescricional, independentemente da propositura de ação judicial até aquela data; c) as hipóteses relativas a fatos geradores ocorridos até 02.03.2021 em que não houve o recolhimento do ISS ou do ICMS, nas quais será devido o pagamento do imposto municipal, respeitados os prazos decadencial e prescricional. 8. Fixação da seguinte tese de julgamento: “É inconstitucional a incidência do ICMS sobre o licenciamento ou cessão do direito de uso de programas de computador.”.</w:t>
      </w:r>
      <w:r w:rsidRPr="00084DD4">
        <w:rPr>
          <w:sz w:val="18"/>
        </w:rPr>
        <w:br/>
      </w:r>
      <w:r w:rsidRPr="00084DD4">
        <w:rPr>
          <w:sz w:val="18"/>
          <w:shd w:val="clear" w:color="auto" w:fill="FFFFFF"/>
        </w:rPr>
        <w:t>(ADI 5576, Relator(a): ROBERTO BARROSO, Tribunal Pleno, julgado em 03/08/2021, PROCESSO ELETRÔNICO DJe-179 DIVULG 09-09-2021 PUBLIC 10-09-2021)</w:t>
      </w:r>
    </w:p>
    <w:p w14:paraId="4FB8FDD0" w14:textId="77777777" w:rsidR="0085100E" w:rsidRPr="0085100E" w:rsidRDefault="0085100E" w:rsidP="0087475E">
      <w:pPr>
        <w:ind w:right="-1"/>
        <w:jc w:val="both"/>
        <w:rPr>
          <w:color w:val="3A7C22" w:themeColor="accent6" w:themeShade="BF"/>
        </w:rPr>
      </w:pPr>
    </w:p>
    <w:p w14:paraId="4BAAC9B9" w14:textId="1DAF2713" w:rsidR="00881721" w:rsidRPr="0085100E" w:rsidRDefault="00881721" w:rsidP="0085100E">
      <w:pPr>
        <w:ind w:right="-1" w:firstLine="567"/>
        <w:jc w:val="both"/>
        <w:rPr>
          <w:sz w:val="24"/>
          <w:szCs w:val="24"/>
        </w:rPr>
      </w:pPr>
      <w:r w:rsidRPr="0085100E">
        <w:rPr>
          <w:sz w:val="24"/>
          <w:szCs w:val="24"/>
        </w:rPr>
        <w:t>No caso concreto deste julgado</w:t>
      </w:r>
      <w:r w:rsidR="009F4E5C">
        <w:rPr>
          <w:sz w:val="24"/>
          <w:szCs w:val="24"/>
        </w:rPr>
        <w:t xml:space="preserve"> (ADI 5576)</w:t>
      </w:r>
      <w:r w:rsidRPr="0085100E">
        <w:rPr>
          <w:sz w:val="24"/>
          <w:szCs w:val="24"/>
        </w:rPr>
        <w:t>, previa a legislação do Estado de São Paulo que deveria haver a incidência de ICMS sobre o licenciamento ou cessão do direito de uso de programas de computador (softwares). Porém, a Confederação Nacional de Serviços (CNS) ajuizou a ADI contra os dispositivos legais que previam isso, argumentando que não deveria incidir o ICMS, mas sim o ISS. O STF concordou com os argumentos da CNS.</w:t>
      </w:r>
    </w:p>
    <w:p w14:paraId="7C02BC72" w14:textId="0277C3E2" w:rsidR="00881721" w:rsidRPr="0085100E" w:rsidRDefault="00881721" w:rsidP="0085100E">
      <w:pPr>
        <w:ind w:right="-1" w:firstLine="567"/>
        <w:jc w:val="both"/>
        <w:rPr>
          <w:sz w:val="24"/>
          <w:szCs w:val="24"/>
        </w:rPr>
      </w:pPr>
    </w:p>
    <w:p w14:paraId="47A26D39" w14:textId="04597797" w:rsidR="00881721" w:rsidRPr="0085100E" w:rsidRDefault="00A96A1C" w:rsidP="0085100E">
      <w:pPr>
        <w:ind w:right="-1" w:firstLine="567"/>
        <w:jc w:val="both"/>
        <w:rPr>
          <w:sz w:val="24"/>
          <w:szCs w:val="24"/>
        </w:rPr>
      </w:pPr>
      <w:r w:rsidRPr="0085100E">
        <w:rPr>
          <w:sz w:val="24"/>
          <w:szCs w:val="24"/>
        </w:rPr>
        <w:t xml:space="preserve">Alguns dos </w:t>
      </w:r>
      <w:r w:rsidR="001E28F9" w:rsidRPr="0085100E">
        <w:rPr>
          <w:sz w:val="24"/>
          <w:szCs w:val="24"/>
        </w:rPr>
        <w:t>fundamentos da decisão</w:t>
      </w:r>
      <w:r w:rsidRPr="0085100E">
        <w:rPr>
          <w:sz w:val="24"/>
          <w:szCs w:val="24"/>
        </w:rPr>
        <w:t xml:space="preserve"> são:</w:t>
      </w:r>
    </w:p>
    <w:p w14:paraId="02026E67" w14:textId="663D88F3" w:rsidR="001E28F9" w:rsidRPr="0085100E" w:rsidRDefault="00A96A1C" w:rsidP="0085100E">
      <w:pPr>
        <w:pStyle w:val="PargrafodaLista"/>
        <w:numPr>
          <w:ilvl w:val="0"/>
          <w:numId w:val="18"/>
        </w:numPr>
        <w:jc w:val="both"/>
        <w:rPr>
          <w:sz w:val="24"/>
          <w:szCs w:val="24"/>
        </w:rPr>
      </w:pPr>
      <w:r w:rsidRPr="0085100E">
        <w:rPr>
          <w:sz w:val="24"/>
          <w:szCs w:val="24"/>
        </w:rPr>
        <w:t xml:space="preserve">O licenciamento ou cessão do direito de uso de programa de computador não caracteriza uma compra e venda (obrigação de dar), tampouco uma prestação </w:t>
      </w:r>
      <w:r w:rsidR="001E28F9" w:rsidRPr="0085100E">
        <w:rPr>
          <w:sz w:val="24"/>
          <w:szCs w:val="24"/>
        </w:rPr>
        <w:t>de serviço (obrigação de fazer).</w:t>
      </w:r>
    </w:p>
    <w:p w14:paraId="0157BE99" w14:textId="5BA69B17" w:rsidR="001E28F9" w:rsidRPr="0085100E" w:rsidRDefault="001E28F9" w:rsidP="0085100E">
      <w:pPr>
        <w:pStyle w:val="PargrafodaLista"/>
        <w:numPr>
          <w:ilvl w:val="0"/>
          <w:numId w:val="18"/>
        </w:numPr>
        <w:jc w:val="both"/>
        <w:rPr>
          <w:sz w:val="24"/>
          <w:szCs w:val="24"/>
        </w:rPr>
      </w:pPr>
      <w:r w:rsidRPr="0085100E">
        <w:rPr>
          <w:sz w:val="24"/>
          <w:szCs w:val="24"/>
        </w:rPr>
        <w:t>O</w:t>
      </w:r>
      <w:r w:rsidR="00A96A1C" w:rsidRPr="0085100E">
        <w:rPr>
          <w:sz w:val="24"/>
          <w:szCs w:val="24"/>
        </w:rPr>
        <w:t xml:space="preserve"> software não seria uma mercadoria, para fins de incidência </w:t>
      </w:r>
      <w:r w:rsidRPr="0085100E">
        <w:rPr>
          <w:sz w:val="24"/>
          <w:szCs w:val="24"/>
        </w:rPr>
        <w:t>de ICMS, não sendo bem corpóreo (com base nesse argumento, frisou-se que a Primeira Turma deste Supremo Tribunal Federal, no julgamento do RE 176.626, de relatoria do Min. Sepúlveda Pertence (j. em 10.11.1998), assentou a impossibilidade de incidência do ICMS sobre o licenciamento ou cessão do direito de uso de programas de computador).</w:t>
      </w:r>
    </w:p>
    <w:p w14:paraId="3BC406BB" w14:textId="68A6A685" w:rsidR="001E28F9" w:rsidRPr="0085100E" w:rsidRDefault="001E28F9" w:rsidP="0085100E">
      <w:pPr>
        <w:pStyle w:val="PargrafodaLista"/>
        <w:numPr>
          <w:ilvl w:val="0"/>
          <w:numId w:val="18"/>
        </w:numPr>
        <w:jc w:val="both"/>
        <w:rPr>
          <w:sz w:val="24"/>
          <w:szCs w:val="24"/>
        </w:rPr>
      </w:pPr>
      <w:r w:rsidRPr="0085100E">
        <w:rPr>
          <w:sz w:val="24"/>
          <w:szCs w:val="24"/>
        </w:rPr>
        <w:lastRenderedPageBreak/>
        <w:t xml:space="preserve">A jurisprudência do STF foi modificada em 2021, afastando a distinção em função do caráter customizado ou não do programa de computador. O Plenário desta Corte, ao apreciar conjuntamente as </w:t>
      </w:r>
      <w:proofErr w:type="spellStart"/>
      <w:r w:rsidRPr="0085100E">
        <w:rPr>
          <w:sz w:val="24"/>
          <w:szCs w:val="24"/>
        </w:rPr>
        <w:t>ADIs</w:t>
      </w:r>
      <w:proofErr w:type="spellEnd"/>
      <w:r w:rsidRPr="0085100E">
        <w:rPr>
          <w:sz w:val="24"/>
          <w:szCs w:val="24"/>
        </w:rPr>
        <w:t xml:space="preserve"> 1.945 e 5.659 (j. em 24.02.2021), entendeu que as operações relativas ao licenciamento ou cessão do direito de uso de software, seja ele padronizado ou elaborado por encomenda, devem sofrer a incidência do ISS, e não do ICMS.</w:t>
      </w:r>
      <w:r w:rsidR="00B16CA4" w:rsidRPr="0085100E">
        <w:rPr>
          <w:sz w:val="24"/>
          <w:szCs w:val="24"/>
        </w:rPr>
        <w:t xml:space="preserve"> ” </w:t>
      </w:r>
    </w:p>
    <w:p w14:paraId="3145B232" w14:textId="5125EE8B" w:rsidR="001E28F9" w:rsidRPr="0085100E" w:rsidRDefault="00B16CA4" w:rsidP="0085100E">
      <w:pPr>
        <w:pStyle w:val="PargrafodaLista"/>
        <w:numPr>
          <w:ilvl w:val="0"/>
          <w:numId w:val="18"/>
        </w:numPr>
        <w:jc w:val="both"/>
        <w:rPr>
          <w:sz w:val="24"/>
          <w:szCs w:val="24"/>
        </w:rPr>
      </w:pPr>
      <w:r w:rsidRPr="0085100E">
        <w:rPr>
          <w:sz w:val="24"/>
          <w:szCs w:val="24"/>
        </w:rPr>
        <w:t>“A tradicional distinção entre software de prateleira (padronizado) e por encomenda (personalizado) não é mais suficiente para a definição da competência para a tributação dos negócios jurídicos que envolvam programas de computador em suas diversas modalidades. Diversos precedentes da Corte têm superado a velha dicotomia entre obrigação de fazer e obrigação de dar, notadamente nos contratos tidos por complexos (v.g. leasing financeiro, contratos de franquia).” (ADI 5.659, Rel. Min. Dias Toffoli, j. em 24.02.2021)</w:t>
      </w:r>
    </w:p>
    <w:p w14:paraId="3F96A4CC" w14:textId="3DD1629D" w:rsidR="00B16CA4" w:rsidRPr="0085100E" w:rsidRDefault="00B16CA4" w:rsidP="0085100E">
      <w:pPr>
        <w:pStyle w:val="PargrafodaLista"/>
        <w:numPr>
          <w:ilvl w:val="0"/>
          <w:numId w:val="18"/>
        </w:numPr>
        <w:jc w:val="both"/>
        <w:rPr>
          <w:sz w:val="24"/>
          <w:szCs w:val="24"/>
        </w:rPr>
      </w:pPr>
      <w:r w:rsidRPr="0085100E">
        <w:rPr>
          <w:sz w:val="24"/>
          <w:szCs w:val="24"/>
        </w:rPr>
        <w:t>“A Corte tem tradicionalmente resolvido as indefinições entre ISS e do ICMS com base em critério objetivo: incide apenas o primeiro se o serviço está definido por lei complementar como tributável por tal imposto, ainda que sua prestação envolva a utilização ou o fornecimento de bens, ressalvadas as exceções previstas na lei; ou incide apenas o segundo se a operação de circulação de mercadorias envolver serviço não definido por aquela lei complementar. ” (ADI 5.659, Rel. Min. Dias Toffoli, j. em 24.02.2021)</w:t>
      </w:r>
    </w:p>
    <w:p w14:paraId="144A555C" w14:textId="538882B6" w:rsidR="00B16CA4" w:rsidRPr="0085100E" w:rsidRDefault="00B16CA4" w:rsidP="0085100E">
      <w:pPr>
        <w:pStyle w:val="PargrafodaLista"/>
        <w:numPr>
          <w:ilvl w:val="0"/>
          <w:numId w:val="18"/>
        </w:numPr>
        <w:jc w:val="both"/>
        <w:rPr>
          <w:sz w:val="24"/>
          <w:szCs w:val="24"/>
        </w:rPr>
      </w:pPr>
      <w:r w:rsidRPr="0085100E">
        <w:rPr>
          <w:sz w:val="24"/>
          <w:szCs w:val="24"/>
        </w:rPr>
        <w:t xml:space="preserve">“O legislador complementar, amparado especialmente nos </w:t>
      </w:r>
      <w:proofErr w:type="spellStart"/>
      <w:r w:rsidRPr="0085100E">
        <w:rPr>
          <w:sz w:val="24"/>
          <w:szCs w:val="24"/>
        </w:rPr>
        <w:t>arts</w:t>
      </w:r>
      <w:proofErr w:type="spellEnd"/>
      <w:r w:rsidRPr="0085100E">
        <w:rPr>
          <w:sz w:val="24"/>
          <w:szCs w:val="24"/>
        </w:rPr>
        <w:t>. 146, I, e 156, III, da Constituição Federal, buscou dirimir conflitos de competência em matéria tributária envolvendo softwares. E o fez não se valendo daquele critério que a Corte vinha adotando. Ele elencou, no subitem 1.05 da lista de serviços tributáveis pelo ISS anexa à LC nº 116/03, o licenciamento e a cessão de direito de uso de programas de computação. É certo, ademais, que, conforme a Lei nº 9.609/98, o uso de programa de computador no País é objeto de contrato de licença. ” (ADI 5.659, Rel. Min. Dias Toffoli, j. em 24.02.2021)</w:t>
      </w:r>
    </w:p>
    <w:p w14:paraId="4E09B689" w14:textId="43BAD55C" w:rsidR="00B16CA4" w:rsidRPr="0085100E" w:rsidRDefault="00B16CA4" w:rsidP="0085100E">
      <w:pPr>
        <w:pStyle w:val="PargrafodaLista"/>
        <w:numPr>
          <w:ilvl w:val="0"/>
          <w:numId w:val="18"/>
        </w:numPr>
        <w:jc w:val="both"/>
        <w:rPr>
          <w:sz w:val="24"/>
          <w:szCs w:val="24"/>
        </w:rPr>
      </w:pPr>
      <w:r w:rsidRPr="0085100E">
        <w:rPr>
          <w:sz w:val="24"/>
          <w:szCs w:val="24"/>
        </w:rPr>
        <w:t xml:space="preserve">“Associa-se a esse critério objetivo a noção de que software é produto do engenho humano, é criação intelectual. Ou seja, faz-se imprescindível a existência de esforço humano direcionado para a construção de um programa de computador (obrigação de fazer), não podendo isso ser desconsiderado em qualquer tipo de software. A obrigação de fazer também se encontra presente nos demais serviços prestados ao usuário, como, v.g., o help </w:t>
      </w:r>
      <w:proofErr w:type="spellStart"/>
      <w:r w:rsidRPr="0085100E">
        <w:rPr>
          <w:sz w:val="24"/>
          <w:szCs w:val="24"/>
        </w:rPr>
        <w:t>desk</w:t>
      </w:r>
      <w:proofErr w:type="spellEnd"/>
      <w:r w:rsidRPr="0085100E">
        <w:rPr>
          <w:sz w:val="24"/>
          <w:szCs w:val="24"/>
        </w:rPr>
        <w:t xml:space="preserve"> e a disponibilização de manuais, atualizações e outras funcionalidades previstas no contrato de licenciamento.” (ADI 5.659, Rel. Min. Dias Toffoli, j. em 24.02.2021)</w:t>
      </w:r>
    </w:p>
    <w:p w14:paraId="3540A977" w14:textId="188C7482" w:rsidR="00A96A1C" w:rsidRPr="0085100E" w:rsidRDefault="00A96A1C" w:rsidP="0085100E">
      <w:pPr>
        <w:ind w:right="-1"/>
        <w:jc w:val="both"/>
      </w:pPr>
    </w:p>
    <w:p w14:paraId="60609450" w14:textId="1EACF2CA" w:rsidR="005F4D77" w:rsidRPr="00454EB9" w:rsidRDefault="009F4E5C" w:rsidP="00454EB9">
      <w:pPr>
        <w:ind w:right="-1" w:firstLine="567"/>
        <w:jc w:val="both"/>
        <w:rPr>
          <w:sz w:val="24"/>
          <w:szCs w:val="24"/>
        </w:rPr>
      </w:pPr>
      <w:r w:rsidRPr="00454EB9">
        <w:rPr>
          <w:sz w:val="24"/>
          <w:szCs w:val="24"/>
        </w:rPr>
        <w:t xml:space="preserve">Desta feita, o STF, a partir das </w:t>
      </w:r>
      <w:proofErr w:type="spellStart"/>
      <w:r w:rsidR="005F4D77" w:rsidRPr="00454EB9">
        <w:rPr>
          <w:b/>
          <w:bCs/>
          <w:sz w:val="24"/>
          <w:szCs w:val="24"/>
        </w:rPr>
        <w:t>ADIs</w:t>
      </w:r>
      <w:proofErr w:type="spellEnd"/>
      <w:r w:rsidR="005F4D77" w:rsidRPr="00454EB9">
        <w:rPr>
          <w:b/>
          <w:bCs/>
          <w:sz w:val="24"/>
          <w:szCs w:val="24"/>
        </w:rPr>
        <w:t xml:space="preserve"> 1945</w:t>
      </w:r>
      <w:r w:rsidR="005F4D77" w:rsidRPr="00454EB9">
        <w:rPr>
          <w:sz w:val="24"/>
          <w:szCs w:val="24"/>
        </w:rPr>
        <w:t xml:space="preserve"> e </w:t>
      </w:r>
      <w:r w:rsidR="005F4D77" w:rsidRPr="00454EB9">
        <w:rPr>
          <w:b/>
          <w:bCs/>
          <w:sz w:val="24"/>
          <w:szCs w:val="24"/>
        </w:rPr>
        <w:t>5659</w:t>
      </w:r>
      <w:r w:rsidR="005F4D77" w:rsidRPr="00454EB9">
        <w:rPr>
          <w:sz w:val="24"/>
          <w:szCs w:val="24"/>
        </w:rPr>
        <w:t xml:space="preserve">, definiu que a tributação do software </w:t>
      </w:r>
      <w:r w:rsidR="00454EB9" w:rsidRPr="00454EB9">
        <w:rPr>
          <w:sz w:val="24"/>
          <w:szCs w:val="24"/>
        </w:rPr>
        <w:t xml:space="preserve">não </w:t>
      </w:r>
      <w:r w:rsidR="005F4D77" w:rsidRPr="00454EB9">
        <w:rPr>
          <w:sz w:val="24"/>
          <w:szCs w:val="24"/>
        </w:rPr>
        <w:t>deve seguir o critério d</w:t>
      </w:r>
      <w:r w:rsidR="00454EB9" w:rsidRPr="00454EB9">
        <w:rPr>
          <w:sz w:val="24"/>
          <w:szCs w:val="24"/>
        </w:rPr>
        <w:t>e distinção entre software customizado (antes tributado pelo ISS) ou de prateleira (antes tributado pelo ICMS). Para ambos, deve ser recolhido o ISS.</w:t>
      </w:r>
    </w:p>
    <w:p w14:paraId="7426AE01" w14:textId="77777777" w:rsidR="005F4D77" w:rsidRPr="00454EB9" w:rsidRDefault="005F4D77" w:rsidP="0087475E">
      <w:pPr>
        <w:ind w:right="-1"/>
        <w:rPr>
          <w:sz w:val="24"/>
          <w:szCs w:val="24"/>
        </w:rPr>
      </w:pPr>
    </w:p>
    <w:p w14:paraId="0C8208FA" w14:textId="196823FB" w:rsidR="005F4D77" w:rsidRPr="00454EB9" w:rsidRDefault="00454EB9" w:rsidP="00454EB9">
      <w:pPr>
        <w:ind w:right="-1" w:firstLine="567"/>
        <w:jc w:val="both"/>
        <w:rPr>
          <w:rStyle w:val="Forte"/>
          <w:b w:val="0"/>
          <w:bCs/>
          <w:sz w:val="24"/>
          <w:szCs w:val="24"/>
        </w:rPr>
      </w:pPr>
      <w:r w:rsidRPr="00454EB9">
        <w:rPr>
          <w:rStyle w:val="Forte"/>
          <w:b w:val="0"/>
          <w:bCs/>
          <w:sz w:val="24"/>
          <w:szCs w:val="24"/>
        </w:rPr>
        <w:t>Não obstante, a</w:t>
      </w:r>
      <w:r w:rsidR="005F4D77" w:rsidRPr="00454EB9">
        <w:rPr>
          <w:rStyle w:val="Forte"/>
          <w:b w:val="0"/>
          <w:bCs/>
          <w:sz w:val="24"/>
          <w:szCs w:val="24"/>
        </w:rPr>
        <w:t xml:space="preserve"> Lei Complementar nº 116, de 31 de julho de 2003, </w:t>
      </w:r>
      <w:r w:rsidRPr="00454EB9">
        <w:rPr>
          <w:rStyle w:val="Forte"/>
          <w:b w:val="0"/>
          <w:bCs/>
          <w:sz w:val="24"/>
          <w:szCs w:val="24"/>
        </w:rPr>
        <w:t xml:space="preserve">que </w:t>
      </w:r>
      <w:r w:rsidR="005F4D77" w:rsidRPr="00454EB9">
        <w:rPr>
          <w:rStyle w:val="Forte"/>
          <w:b w:val="0"/>
          <w:bCs/>
          <w:sz w:val="24"/>
          <w:szCs w:val="24"/>
        </w:rPr>
        <w:t xml:space="preserve">regulamenta o Imposto Sobre Serviços de Qualquer Natureza (ISSQN), </w:t>
      </w:r>
      <w:r w:rsidRPr="00454EB9">
        <w:rPr>
          <w:rStyle w:val="Forte"/>
          <w:b w:val="0"/>
          <w:bCs/>
          <w:sz w:val="24"/>
          <w:szCs w:val="24"/>
        </w:rPr>
        <w:t>e</w:t>
      </w:r>
      <w:r w:rsidR="005F4D77" w:rsidRPr="00454EB9">
        <w:rPr>
          <w:rStyle w:val="Forte"/>
          <w:b w:val="0"/>
          <w:bCs/>
          <w:sz w:val="24"/>
          <w:szCs w:val="24"/>
        </w:rPr>
        <w:t>m relação aos softwares</w:t>
      </w:r>
      <w:r w:rsidRPr="00454EB9">
        <w:rPr>
          <w:rStyle w:val="Forte"/>
          <w:b w:val="0"/>
          <w:bCs/>
          <w:sz w:val="24"/>
          <w:szCs w:val="24"/>
        </w:rPr>
        <w:t xml:space="preserve">, </w:t>
      </w:r>
      <w:r w:rsidR="005F4D77" w:rsidRPr="00454EB9">
        <w:rPr>
          <w:rStyle w:val="Forte"/>
          <w:b w:val="0"/>
          <w:bCs/>
          <w:sz w:val="24"/>
          <w:szCs w:val="24"/>
        </w:rPr>
        <w:t>inclui na lista de serviços tributáveis pelo ISS diversas atividades relacionadas a programas de computador. As principais disposições são:</w:t>
      </w:r>
    </w:p>
    <w:p w14:paraId="739F210E" w14:textId="77777777" w:rsidR="005F4D77" w:rsidRPr="00454EB9" w:rsidRDefault="005F4D77" w:rsidP="0087475E">
      <w:pPr>
        <w:ind w:right="-1" w:firstLine="567"/>
        <w:jc w:val="both"/>
        <w:rPr>
          <w:rStyle w:val="Forte"/>
          <w:b w:val="0"/>
          <w:bCs/>
          <w:sz w:val="24"/>
          <w:szCs w:val="24"/>
        </w:rPr>
      </w:pPr>
    </w:p>
    <w:p w14:paraId="1B935907" w14:textId="77777777" w:rsidR="005F4D77" w:rsidRPr="00454EB9" w:rsidRDefault="005F4D77" w:rsidP="0087475E">
      <w:pPr>
        <w:ind w:left="1276" w:right="-1"/>
        <w:rPr>
          <w:rStyle w:val="Forte"/>
          <w:b w:val="0"/>
          <w:bCs/>
          <w:sz w:val="24"/>
          <w:szCs w:val="24"/>
          <w:u w:val="single"/>
        </w:rPr>
      </w:pPr>
      <w:r w:rsidRPr="00454EB9">
        <w:rPr>
          <w:rStyle w:val="Forte"/>
          <w:b w:val="0"/>
          <w:bCs/>
          <w:sz w:val="24"/>
          <w:szCs w:val="24"/>
          <w:u w:val="single"/>
        </w:rPr>
        <w:t>Lista de serviços anexa à Lei Complementar nº 116, de 31 de julho de 2003.</w:t>
      </w:r>
    </w:p>
    <w:p w14:paraId="3AC405CE" w14:textId="30B17BC7" w:rsidR="005F4D77" w:rsidRPr="00454EB9" w:rsidRDefault="005F4D77" w:rsidP="0087475E">
      <w:pPr>
        <w:pStyle w:val="PargrafodaLista"/>
        <w:numPr>
          <w:ilvl w:val="0"/>
          <w:numId w:val="15"/>
        </w:numPr>
        <w:ind w:right="-1"/>
        <w:jc w:val="both"/>
        <w:rPr>
          <w:rStyle w:val="Forte"/>
          <w:b w:val="0"/>
          <w:bCs/>
          <w:sz w:val="24"/>
          <w:szCs w:val="24"/>
        </w:rPr>
      </w:pPr>
      <w:r w:rsidRPr="00454EB9">
        <w:rPr>
          <w:rStyle w:val="Forte"/>
          <w:b w:val="0"/>
          <w:bCs/>
          <w:sz w:val="24"/>
          <w:szCs w:val="24"/>
        </w:rPr>
        <w:lastRenderedPageBreak/>
        <w:t xml:space="preserve">Item 1.03: "Processamento, armazenamento ou hospedagem de dados, textos, imagens, vídeos, páginas eletrônicas, aplicativos e sistemas de informação, entre outros formatos, e congêneres." </w:t>
      </w:r>
    </w:p>
    <w:p w14:paraId="0D1F8316" w14:textId="54ADD6C4" w:rsidR="005F4D77" w:rsidRPr="00454EB9" w:rsidRDefault="005F4D77" w:rsidP="0087475E">
      <w:pPr>
        <w:pStyle w:val="PargrafodaLista"/>
        <w:numPr>
          <w:ilvl w:val="0"/>
          <w:numId w:val="15"/>
        </w:numPr>
        <w:ind w:right="-1"/>
        <w:jc w:val="both"/>
        <w:rPr>
          <w:rStyle w:val="Forte"/>
          <w:b w:val="0"/>
          <w:bCs/>
          <w:sz w:val="24"/>
          <w:szCs w:val="24"/>
        </w:rPr>
      </w:pPr>
      <w:r w:rsidRPr="00454EB9">
        <w:rPr>
          <w:rStyle w:val="Forte"/>
          <w:b w:val="0"/>
          <w:bCs/>
          <w:sz w:val="24"/>
          <w:szCs w:val="24"/>
        </w:rPr>
        <w:t>Item 1.04: "Elaboração de programas de computadores, inclusive de jogos eletrônicos, independentemente da arquitetura construtiva da máquina em que o programa será executado, incluindo tablets, smartphones e congêneres." (Redação dada pela Lei Complementar nº 157, de 2016)</w:t>
      </w:r>
    </w:p>
    <w:p w14:paraId="0CF48EE7" w14:textId="77777777" w:rsidR="005F4D77" w:rsidRPr="00454EB9" w:rsidRDefault="005F4D77" w:rsidP="0087475E">
      <w:pPr>
        <w:pStyle w:val="PargrafodaLista"/>
        <w:numPr>
          <w:ilvl w:val="0"/>
          <w:numId w:val="15"/>
        </w:numPr>
        <w:ind w:right="-1"/>
        <w:jc w:val="both"/>
        <w:rPr>
          <w:rStyle w:val="Forte"/>
          <w:b w:val="0"/>
          <w:bCs/>
          <w:sz w:val="24"/>
          <w:szCs w:val="24"/>
        </w:rPr>
      </w:pPr>
      <w:r w:rsidRPr="00454EB9">
        <w:rPr>
          <w:rStyle w:val="Forte"/>
          <w:b w:val="0"/>
          <w:bCs/>
          <w:sz w:val="24"/>
          <w:szCs w:val="24"/>
        </w:rPr>
        <w:t>Item 1.05: "Licenciamento ou cessão de direito de uso de programas de computação."</w:t>
      </w:r>
    </w:p>
    <w:p w14:paraId="363AA62E" w14:textId="1D1AF854" w:rsidR="005F4D77" w:rsidRPr="00454EB9" w:rsidRDefault="005F4D77" w:rsidP="0087475E">
      <w:pPr>
        <w:pStyle w:val="PargrafodaLista"/>
        <w:numPr>
          <w:ilvl w:val="0"/>
          <w:numId w:val="15"/>
        </w:numPr>
        <w:ind w:right="-1"/>
        <w:jc w:val="both"/>
        <w:rPr>
          <w:rStyle w:val="Forte"/>
          <w:b w:val="0"/>
          <w:bCs/>
          <w:sz w:val="24"/>
          <w:szCs w:val="24"/>
        </w:rPr>
      </w:pPr>
      <w:r w:rsidRPr="00454EB9">
        <w:rPr>
          <w:rStyle w:val="Forte"/>
          <w:b w:val="0"/>
          <w:bCs/>
          <w:sz w:val="24"/>
          <w:szCs w:val="24"/>
        </w:rPr>
        <w:t xml:space="preserve">Item 1.09: "Disponibilização, sem cessão definitiva, de </w:t>
      </w:r>
      <w:proofErr w:type="spellStart"/>
      <w:r w:rsidRPr="00454EB9">
        <w:rPr>
          <w:rStyle w:val="Forte"/>
          <w:b w:val="0"/>
          <w:bCs/>
          <w:sz w:val="24"/>
          <w:szCs w:val="24"/>
        </w:rPr>
        <w:t>conteúdos</w:t>
      </w:r>
      <w:proofErr w:type="spellEnd"/>
      <w:r w:rsidRPr="00454EB9">
        <w:rPr>
          <w:rStyle w:val="Forte"/>
          <w:b w:val="0"/>
          <w:bCs/>
          <w:sz w:val="24"/>
          <w:szCs w:val="24"/>
        </w:rPr>
        <w:t xml:space="preserve"> de áudio, vídeo, imagem e texto por meio da internet, respeitada a imunidade de livros, jornais e periódicos (exceto a distribuição de </w:t>
      </w:r>
      <w:proofErr w:type="spellStart"/>
      <w:r w:rsidRPr="00454EB9">
        <w:rPr>
          <w:rStyle w:val="Forte"/>
          <w:b w:val="0"/>
          <w:bCs/>
          <w:sz w:val="24"/>
          <w:szCs w:val="24"/>
        </w:rPr>
        <w:t>conteúdos</w:t>
      </w:r>
      <w:proofErr w:type="spellEnd"/>
      <w:r w:rsidRPr="00454EB9">
        <w:rPr>
          <w:rStyle w:val="Forte"/>
          <w:b w:val="0"/>
          <w:bCs/>
          <w:sz w:val="24"/>
          <w:szCs w:val="24"/>
        </w:rPr>
        <w:t xml:space="preserve"> pelas prestadoras de Serviço de Acesso Condicionado, de que trata a Lei no 12.485, de 12 de setembro de 2011, sujeita ao ICMS)."</w:t>
      </w:r>
    </w:p>
    <w:p w14:paraId="4C4F0108" w14:textId="77777777" w:rsidR="005F4D77" w:rsidRPr="0085100E" w:rsidRDefault="005F4D77" w:rsidP="0087475E">
      <w:pPr>
        <w:ind w:right="-1" w:firstLine="567"/>
        <w:rPr>
          <w:rStyle w:val="Forte"/>
          <w:b w:val="0"/>
          <w:bCs/>
          <w:color w:val="7030A0"/>
          <w:sz w:val="24"/>
          <w:szCs w:val="24"/>
        </w:rPr>
      </w:pPr>
    </w:p>
    <w:p w14:paraId="63C5C9D1" w14:textId="77777777" w:rsidR="00016DD9" w:rsidRPr="00454EB9" w:rsidRDefault="00016DD9" w:rsidP="0087475E">
      <w:pPr>
        <w:ind w:right="-1" w:firstLine="567"/>
        <w:jc w:val="both"/>
        <w:rPr>
          <w:rStyle w:val="Forte"/>
          <w:b w:val="0"/>
          <w:bCs/>
          <w:sz w:val="24"/>
          <w:szCs w:val="24"/>
        </w:rPr>
      </w:pPr>
      <w:r w:rsidRPr="00454EB9">
        <w:rPr>
          <w:rStyle w:val="Forte"/>
          <w:b w:val="0"/>
          <w:bCs/>
          <w:sz w:val="24"/>
          <w:szCs w:val="24"/>
        </w:rPr>
        <w:t>Essas disposições implicam que diversas atividades relacionadas a softwares são tributáveis pelo ISS, incluindo a elaboração, licenciamento, e cessão de direito de uso de programas de computador, bem como serviços associados como processamento e hospedagem de dados.</w:t>
      </w:r>
    </w:p>
    <w:p w14:paraId="0301485B" w14:textId="77777777" w:rsidR="005F4D77" w:rsidRPr="0085100E" w:rsidRDefault="005F4D77" w:rsidP="0087475E">
      <w:pPr>
        <w:ind w:right="-1" w:firstLine="567"/>
        <w:rPr>
          <w:rStyle w:val="Forte"/>
          <w:b w:val="0"/>
          <w:bCs/>
          <w:color w:val="7030A0"/>
          <w:sz w:val="24"/>
          <w:szCs w:val="24"/>
        </w:rPr>
      </w:pPr>
    </w:p>
    <w:p w14:paraId="3358C33C" w14:textId="63B34860" w:rsidR="00016DD9" w:rsidRPr="00454EB9" w:rsidRDefault="00016DD9" w:rsidP="0087475E">
      <w:pPr>
        <w:ind w:right="-1" w:firstLine="567"/>
        <w:jc w:val="both"/>
        <w:rPr>
          <w:rStyle w:val="Forte"/>
          <w:b w:val="0"/>
          <w:bCs/>
          <w:sz w:val="24"/>
          <w:szCs w:val="24"/>
        </w:rPr>
      </w:pPr>
      <w:r w:rsidRPr="00454EB9">
        <w:rPr>
          <w:rStyle w:val="Forte"/>
          <w:b w:val="0"/>
          <w:bCs/>
          <w:sz w:val="24"/>
          <w:szCs w:val="24"/>
        </w:rPr>
        <w:t xml:space="preserve">A inclusão de software na lista de serviços da LC 116/2003 significa que as empresas que elaboram, licenciam ou cedem o direito de uso de programas de computador precisam recolher ISS sobre essas atividades. Isso </w:t>
      </w:r>
      <w:r w:rsidR="00454EB9">
        <w:rPr>
          <w:rStyle w:val="Forte"/>
          <w:b w:val="0"/>
          <w:bCs/>
          <w:sz w:val="24"/>
          <w:szCs w:val="24"/>
        </w:rPr>
        <w:t xml:space="preserve">se </w:t>
      </w:r>
      <w:r w:rsidRPr="00454EB9">
        <w:rPr>
          <w:rStyle w:val="Forte"/>
          <w:b w:val="0"/>
          <w:bCs/>
          <w:sz w:val="24"/>
          <w:szCs w:val="24"/>
        </w:rPr>
        <w:t>aplica independentemente da forma como o software é distribuído (físico ou digital), desde que não haja cessão definitiva.</w:t>
      </w:r>
    </w:p>
    <w:p w14:paraId="353CD583" w14:textId="77777777" w:rsidR="00016DD9" w:rsidRDefault="00016DD9" w:rsidP="0087475E">
      <w:pPr>
        <w:ind w:right="-1" w:firstLine="567"/>
        <w:jc w:val="both"/>
        <w:rPr>
          <w:rStyle w:val="Forte"/>
          <w:b w:val="0"/>
          <w:bCs/>
          <w:color w:val="7030A0"/>
          <w:sz w:val="24"/>
          <w:szCs w:val="24"/>
        </w:rPr>
      </w:pPr>
    </w:p>
    <w:p w14:paraId="7C2D8606" w14:textId="09D9D9F0" w:rsidR="00454EB9" w:rsidRPr="00454EB9" w:rsidRDefault="00454EB9" w:rsidP="00454EB9">
      <w:pPr>
        <w:ind w:right="-1" w:firstLine="567"/>
        <w:jc w:val="both"/>
        <w:rPr>
          <w:rStyle w:val="Forte"/>
          <w:b w:val="0"/>
          <w:bCs/>
          <w:sz w:val="24"/>
          <w:szCs w:val="24"/>
        </w:rPr>
      </w:pPr>
      <w:r w:rsidRPr="00454EB9">
        <w:rPr>
          <w:rStyle w:val="Forte"/>
          <w:b w:val="0"/>
          <w:bCs/>
          <w:sz w:val="24"/>
          <w:szCs w:val="24"/>
        </w:rPr>
        <w:t xml:space="preserve">A </w:t>
      </w:r>
      <w:r w:rsidRPr="00454EB9">
        <w:rPr>
          <w:rStyle w:val="Forte"/>
          <w:b w:val="0"/>
          <w:bCs/>
          <w:sz w:val="24"/>
          <w:szCs w:val="24"/>
        </w:rPr>
        <w:t>Lei Complementar n. 116/2003</w:t>
      </w:r>
      <w:r w:rsidRPr="00454EB9">
        <w:rPr>
          <w:rStyle w:val="Forte"/>
          <w:b w:val="0"/>
          <w:bCs/>
          <w:sz w:val="24"/>
          <w:szCs w:val="24"/>
        </w:rPr>
        <w:t xml:space="preserve"> serviu a determinação constitucional do </w:t>
      </w:r>
      <w:r w:rsidRPr="00454EB9">
        <w:rPr>
          <w:rStyle w:val="Forte"/>
          <w:b w:val="0"/>
          <w:bCs/>
          <w:sz w:val="24"/>
          <w:szCs w:val="24"/>
        </w:rPr>
        <w:t>inc. III do art. 156 da Constituição da República</w:t>
      </w:r>
      <w:r w:rsidRPr="00454EB9">
        <w:rPr>
          <w:rStyle w:val="Forte"/>
          <w:b w:val="0"/>
          <w:bCs/>
          <w:sz w:val="24"/>
          <w:szCs w:val="24"/>
        </w:rPr>
        <w:t xml:space="preserve">, que estatui que </w:t>
      </w:r>
      <w:r w:rsidRPr="00454EB9">
        <w:rPr>
          <w:rStyle w:val="Forte"/>
          <w:b w:val="0"/>
          <w:bCs/>
          <w:i/>
          <w:iCs/>
          <w:sz w:val="24"/>
          <w:szCs w:val="24"/>
        </w:rPr>
        <w:t xml:space="preserve">“compete aos Municípios instituir impostos sobre </w:t>
      </w:r>
      <w:r w:rsidRPr="00454EB9">
        <w:rPr>
          <w:rStyle w:val="Forte"/>
          <w:b w:val="0"/>
          <w:bCs/>
          <w:sz w:val="24"/>
          <w:szCs w:val="24"/>
        </w:rPr>
        <w:t>(…)</w:t>
      </w:r>
      <w:r w:rsidRPr="00454EB9">
        <w:rPr>
          <w:rStyle w:val="Forte"/>
          <w:b w:val="0"/>
          <w:bCs/>
          <w:i/>
          <w:iCs/>
          <w:sz w:val="24"/>
          <w:szCs w:val="24"/>
        </w:rPr>
        <w:t xml:space="preserve"> </w:t>
      </w:r>
      <w:r w:rsidRPr="00454EB9">
        <w:rPr>
          <w:rStyle w:val="Forte"/>
          <w:b w:val="0"/>
          <w:bCs/>
          <w:i/>
          <w:iCs/>
          <w:sz w:val="24"/>
          <w:szCs w:val="24"/>
        </w:rPr>
        <w:t>serviços de qualquer natureza, não compreendidos no art. 155, II, definidos em lei</w:t>
      </w:r>
      <w:r w:rsidRPr="00454EB9">
        <w:rPr>
          <w:rStyle w:val="Forte"/>
          <w:b w:val="0"/>
          <w:bCs/>
          <w:i/>
          <w:iCs/>
          <w:sz w:val="24"/>
          <w:szCs w:val="24"/>
        </w:rPr>
        <w:t xml:space="preserve"> </w:t>
      </w:r>
      <w:r w:rsidRPr="00454EB9">
        <w:rPr>
          <w:rStyle w:val="Forte"/>
          <w:b w:val="0"/>
          <w:bCs/>
          <w:i/>
          <w:iCs/>
          <w:sz w:val="24"/>
          <w:szCs w:val="24"/>
        </w:rPr>
        <w:t>complementar”</w:t>
      </w:r>
      <w:r w:rsidRPr="00454EB9">
        <w:rPr>
          <w:rStyle w:val="Forte"/>
          <w:b w:val="0"/>
          <w:bCs/>
          <w:sz w:val="24"/>
          <w:szCs w:val="24"/>
        </w:rPr>
        <w:t>.</w:t>
      </w:r>
    </w:p>
    <w:p w14:paraId="7600C965" w14:textId="77777777" w:rsidR="00454EB9" w:rsidRPr="0085100E" w:rsidRDefault="00454EB9" w:rsidP="00454EB9">
      <w:pPr>
        <w:ind w:right="-1" w:firstLine="567"/>
        <w:jc w:val="both"/>
        <w:rPr>
          <w:rStyle w:val="Forte"/>
          <w:b w:val="0"/>
          <w:bCs/>
          <w:color w:val="7030A0"/>
          <w:sz w:val="24"/>
          <w:szCs w:val="24"/>
        </w:rPr>
      </w:pPr>
    </w:p>
    <w:p w14:paraId="38E10F58" w14:textId="77777777" w:rsidR="00F379C4" w:rsidRPr="007412A1" w:rsidRDefault="00454EB9" w:rsidP="00454EB9">
      <w:pPr>
        <w:widowControl w:val="0"/>
        <w:tabs>
          <w:tab w:val="left" w:pos="891"/>
        </w:tabs>
        <w:autoSpaceDE w:val="0"/>
        <w:autoSpaceDN w:val="0"/>
        <w:ind w:right="-1" w:firstLine="567"/>
        <w:jc w:val="both"/>
        <w:rPr>
          <w:rStyle w:val="Forte"/>
          <w:b w:val="0"/>
          <w:bCs/>
          <w:sz w:val="24"/>
          <w:szCs w:val="24"/>
        </w:rPr>
      </w:pPr>
      <w:r w:rsidRPr="007412A1">
        <w:rPr>
          <w:rStyle w:val="Forte"/>
          <w:b w:val="0"/>
          <w:bCs/>
          <w:sz w:val="24"/>
          <w:szCs w:val="24"/>
        </w:rPr>
        <w:t xml:space="preserve">De acordo com o acórdão da ADI </w:t>
      </w:r>
      <w:r w:rsidRPr="007412A1">
        <w:rPr>
          <w:rStyle w:val="Forte"/>
          <w:b w:val="0"/>
          <w:bCs/>
          <w:sz w:val="24"/>
          <w:szCs w:val="24"/>
        </w:rPr>
        <w:t>1945</w:t>
      </w:r>
      <w:r w:rsidRPr="007412A1">
        <w:rPr>
          <w:rStyle w:val="Forte"/>
          <w:b w:val="0"/>
          <w:bCs/>
          <w:sz w:val="24"/>
          <w:szCs w:val="24"/>
        </w:rPr>
        <w:t xml:space="preserve">: </w:t>
      </w:r>
    </w:p>
    <w:p w14:paraId="4F076DAD" w14:textId="77777777" w:rsidR="00F379C4" w:rsidRPr="007412A1" w:rsidRDefault="00F379C4" w:rsidP="00454EB9">
      <w:pPr>
        <w:widowControl w:val="0"/>
        <w:tabs>
          <w:tab w:val="left" w:pos="891"/>
        </w:tabs>
        <w:autoSpaceDE w:val="0"/>
        <w:autoSpaceDN w:val="0"/>
        <w:ind w:right="-1" w:firstLine="567"/>
        <w:jc w:val="both"/>
        <w:rPr>
          <w:rStyle w:val="Forte"/>
          <w:b w:val="0"/>
          <w:bCs/>
          <w:sz w:val="24"/>
          <w:szCs w:val="24"/>
        </w:rPr>
      </w:pPr>
    </w:p>
    <w:p w14:paraId="09492CB1" w14:textId="2D166402" w:rsidR="005F4D77" w:rsidRPr="007412A1" w:rsidRDefault="00454EB9" w:rsidP="00F379C4">
      <w:pPr>
        <w:widowControl w:val="0"/>
        <w:tabs>
          <w:tab w:val="left" w:pos="891"/>
        </w:tabs>
        <w:autoSpaceDE w:val="0"/>
        <w:autoSpaceDN w:val="0"/>
        <w:ind w:left="2268" w:right="-1"/>
        <w:jc w:val="both"/>
        <w:rPr>
          <w:rStyle w:val="Forte"/>
          <w:b w:val="0"/>
          <w:bCs/>
        </w:rPr>
      </w:pPr>
      <w:r w:rsidRPr="007412A1">
        <w:rPr>
          <w:rStyle w:val="Forte"/>
          <w:b w:val="0"/>
          <w:bCs/>
        </w:rPr>
        <w:t>“</w:t>
      </w:r>
      <w:r w:rsidRPr="007412A1">
        <w:rPr>
          <w:rStyle w:val="Forte"/>
          <w:b w:val="0"/>
          <w:bCs/>
        </w:rPr>
        <w:t>A previsão do fato gerador constante do item 1.05 daquela lista pode</w:t>
      </w:r>
      <w:r w:rsidRPr="007412A1">
        <w:rPr>
          <w:rStyle w:val="Forte"/>
          <w:b w:val="0"/>
          <w:bCs/>
        </w:rPr>
        <w:t xml:space="preserve"> </w:t>
      </w:r>
      <w:r w:rsidRPr="007412A1">
        <w:rPr>
          <w:rStyle w:val="Forte"/>
          <w:b w:val="0"/>
          <w:bCs/>
        </w:rPr>
        <w:t>ser compreendida como a definição legal atividade de “licenciamento ou</w:t>
      </w:r>
      <w:r w:rsidRPr="007412A1">
        <w:rPr>
          <w:rStyle w:val="Forte"/>
          <w:b w:val="0"/>
          <w:bCs/>
        </w:rPr>
        <w:t xml:space="preserve"> </w:t>
      </w:r>
      <w:r w:rsidRPr="007412A1">
        <w:rPr>
          <w:rStyle w:val="Forte"/>
          <w:b w:val="0"/>
          <w:bCs/>
        </w:rPr>
        <w:t>cessão de direito de uso de programas de computador”, ou seja, a prestação do</w:t>
      </w:r>
      <w:r w:rsidRPr="007412A1">
        <w:rPr>
          <w:rStyle w:val="Forte"/>
          <w:b w:val="0"/>
          <w:bCs/>
        </w:rPr>
        <w:t xml:space="preserve"> </w:t>
      </w:r>
      <w:r w:rsidRPr="007412A1">
        <w:rPr>
          <w:rStyle w:val="Forte"/>
          <w:b w:val="0"/>
          <w:bCs/>
        </w:rPr>
        <w:t>serviço de licenciamento ou cessão de uso do programa de computador,</w:t>
      </w:r>
      <w:r w:rsidRPr="007412A1">
        <w:rPr>
          <w:rStyle w:val="Forte"/>
          <w:b w:val="0"/>
          <w:bCs/>
        </w:rPr>
        <w:t xml:space="preserve"> </w:t>
      </w:r>
      <w:r w:rsidRPr="007412A1">
        <w:rPr>
          <w:rStyle w:val="Forte"/>
          <w:b w:val="0"/>
          <w:bCs/>
        </w:rPr>
        <w:t>ação diversa da colocação do produto à venda.</w:t>
      </w:r>
      <w:r w:rsidRPr="007412A1">
        <w:rPr>
          <w:rStyle w:val="Forte"/>
          <w:b w:val="0"/>
          <w:bCs/>
        </w:rPr>
        <w:t>”</w:t>
      </w:r>
    </w:p>
    <w:p w14:paraId="247497D4" w14:textId="77777777" w:rsidR="00454EB9" w:rsidRPr="007412A1" w:rsidRDefault="00454EB9" w:rsidP="00454EB9">
      <w:pPr>
        <w:widowControl w:val="0"/>
        <w:tabs>
          <w:tab w:val="left" w:pos="891"/>
        </w:tabs>
        <w:autoSpaceDE w:val="0"/>
        <w:autoSpaceDN w:val="0"/>
        <w:ind w:right="-1" w:firstLine="567"/>
        <w:jc w:val="both"/>
        <w:rPr>
          <w:rStyle w:val="Forte"/>
          <w:sz w:val="24"/>
          <w:szCs w:val="24"/>
        </w:rPr>
      </w:pPr>
    </w:p>
    <w:p w14:paraId="2A6B6EF3" w14:textId="3523C8B1" w:rsidR="00F379C4" w:rsidRPr="007412A1" w:rsidRDefault="00F379C4" w:rsidP="00454EB9">
      <w:pPr>
        <w:widowControl w:val="0"/>
        <w:tabs>
          <w:tab w:val="left" w:pos="891"/>
        </w:tabs>
        <w:autoSpaceDE w:val="0"/>
        <w:autoSpaceDN w:val="0"/>
        <w:ind w:right="-1" w:firstLine="567"/>
        <w:jc w:val="both"/>
        <w:rPr>
          <w:rStyle w:val="Forte"/>
          <w:b w:val="0"/>
          <w:bCs/>
          <w:sz w:val="24"/>
          <w:szCs w:val="24"/>
        </w:rPr>
      </w:pPr>
      <w:r w:rsidRPr="007412A1">
        <w:rPr>
          <w:rStyle w:val="Forte"/>
          <w:b w:val="0"/>
          <w:bCs/>
          <w:sz w:val="24"/>
          <w:szCs w:val="24"/>
        </w:rPr>
        <w:t xml:space="preserve">Sendo assim, entende o STF que </w:t>
      </w:r>
      <w:r w:rsidRPr="007412A1">
        <w:rPr>
          <w:rStyle w:val="Forte"/>
          <w:b w:val="0"/>
          <w:bCs/>
          <w:sz w:val="24"/>
          <w:szCs w:val="24"/>
        </w:rPr>
        <w:t>a atividade de “licenciamento ou cessão de direito de uso de programas de computador” é diferente da “colocação do produto à venda”. A primeira é considerada uma prestação de serviço</w:t>
      </w:r>
      <w:r w:rsidRPr="007412A1">
        <w:rPr>
          <w:rStyle w:val="Forte"/>
          <w:b w:val="0"/>
          <w:bCs/>
          <w:sz w:val="24"/>
          <w:szCs w:val="24"/>
        </w:rPr>
        <w:t xml:space="preserve"> (sujeito a ISS)</w:t>
      </w:r>
      <w:r w:rsidRPr="007412A1">
        <w:rPr>
          <w:rStyle w:val="Forte"/>
          <w:b w:val="0"/>
          <w:bCs/>
          <w:sz w:val="24"/>
          <w:szCs w:val="24"/>
        </w:rPr>
        <w:t>, enquanto a segunda é a venda de um produto</w:t>
      </w:r>
      <w:r w:rsidRPr="007412A1">
        <w:rPr>
          <w:rStyle w:val="Forte"/>
          <w:b w:val="0"/>
          <w:bCs/>
          <w:sz w:val="24"/>
          <w:szCs w:val="24"/>
        </w:rPr>
        <w:t xml:space="preserve"> (sujeita a ICMS)</w:t>
      </w:r>
      <w:r w:rsidRPr="007412A1">
        <w:rPr>
          <w:rStyle w:val="Forte"/>
          <w:b w:val="0"/>
          <w:bCs/>
          <w:sz w:val="24"/>
          <w:szCs w:val="24"/>
        </w:rPr>
        <w:t>.</w:t>
      </w:r>
    </w:p>
    <w:p w14:paraId="79CFC2E6" w14:textId="77777777" w:rsidR="00F379C4" w:rsidRPr="0085100E" w:rsidRDefault="00F379C4" w:rsidP="00454EB9">
      <w:pPr>
        <w:widowControl w:val="0"/>
        <w:tabs>
          <w:tab w:val="left" w:pos="891"/>
        </w:tabs>
        <w:autoSpaceDE w:val="0"/>
        <w:autoSpaceDN w:val="0"/>
        <w:ind w:right="-1" w:firstLine="567"/>
        <w:jc w:val="both"/>
        <w:rPr>
          <w:rStyle w:val="Forte"/>
          <w:color w:val="7030A0"/>
          <w:sz w:val="24"/>
          <w:szCs w:val="24"/>
        </w:rPr>
      </w:pPr>
    </w:p>
    <w:p w14:paraId="7A58D2F0" w14:textId="3ADB50F1" w:rsidR="00016DD9" w:rsidRPr="001A6D30" w:rsidRDefault="001A6D30" w:rsidP="0087475E">
      <w:pPr>
        <w:widowControl w:val="0"/>
        <w:tabs>
          <w:tab w:val="left" w:pos="891"/>
        </w:tabs>
        <w:autoSpaceDE w:val="0"/>
        <w:autoSpaceDN w:val="0"/>
        <w:ind w:right="-1" w:firstLine="567"/>
        <w:jc w:val="both"/>
        <w:rPr>
          <w:rStyle w:val="Forte"/>
          <w:sz w:val="24"/>
          <w:szCs w:val="24"/>
        </w:rPr>
      </w:pPr>
      <w:r w:rsidRPr="001A6D30">
        <w:rPr>
          <w:rStyle w:val="Forte"/>
          <w:sz w:val="24"/>
          <w:szCs w:val="24"/>
        </w:rPr>
        <w:t>Em conclusão, a</w:t>
      </w:r>
      <w:r w:rsidR="003A11CA" w:rsidRPr="001A6D30">
        <w:rPr>
          <w:rStyle w:val="Forte"/>
          <w:sz w:val="24"/>
          <w:szCs w:val="24"/>
        </w:rPr>
        <w:t xml:space="preserve"> postura da </w:t>
      </w:r>
      <w:r w:rsidR="00084DD4">
        <w:rPr>
          <w:rStyle w:val="Forte"/>
          <w:sz w:val="24"/>
          <w:szCs w:val="24"/>
        </w:rPr>
        <w:t xml:space="preserve">empresa </w:t>
      </w:r>
      <w:r w:rsidR="003A11CA" w:rsidRPr="001A6D30">
        <w:rPr>
          <w:rStyle w:val="Forte"/>
          <w:sz w:val="24"/>
          <w:szCs w:val="24"/>
        </w:rPr>
        <w:t xml:space="preserve">Software Ltda ao recolher ISS para ambos os tipos de software (customizado e de prateleira) </w:t>
      </w:r>
      <w:r w:rsidR="003A11CA" w:rsidRPr="001A6D30">
        <w:rPr>
          <w:rStyle w:val="Forte"/>
          <w:sz w:val="24"/>
          <w:szCs w:val="24"/>
          <w:u w:val="single"/>
        </w:rPr>
        <w:t>está correta</w:t>
      </w:r>
      <w:r w:rsidRPr="001A6D30">
        <w:rPr>
          <w:rStyle w:val="Forte"/>
          <w:sz w:val="24"/>
          <w:szCs w:val="24"/>
        </w:rPr>
        <w:t xml:space="preserve">, considerando o entendimento do STF posterior a 2021, com o julgamento das </w:t>
      </w:r>
      <w:proofErr w:type="spellStart"/>
      <w:r w:rsidRPr="001A6D30">
        <w:rPr>
          <w:rStyle w:val="Forte"/>
          <w:sz w:val="24"/>
          <w:szCs w:val="24"/>
        </w:rPr>
        <w:t>ADIs</w:t>
      </w:r>
      <w:proofErr w:type="spellEnd"/>
      <w:r w:rsidRPr="001A6D30">
        <w:rPr>
          <w:rStyle w:val="Forte"/>
          <w:sz w:val="24"/>
          <w:szCs w:val="24"/>
        </w:rPr>
        <w:t xml:space="preserve"> 1945 e 5659</w:t>
      </w:r>
      <w:r w:rsidR="003A11CA" w:rsidRPr="001A6D30">
        <w:rPr>
          <w:rStyle w:val="Forte"/>
          <w:sz w:val="24"/>
          <w:szCs w:val="24"/>
        </w:rPr>
        <w:t xml:space="preserve">. </w:t>
      </w:r>
    </w:p>
    <w:p w14:paraId="130E3737" w14:textId="77777777" w:rsidR="00016DD9" w:rsidRPr="00FC429D" w:rsidRDefault="00016DD9" w:rsidP="0087475E">
      <w:pPr>
        <w:widowControl w:val="0"/>
        <w:tabs>
          <w:tab w:val="left" w:pos="891"/>
        </w:tabs>
        <w:autoSpaceDE w:val="0"/>
        <w:autoSpaceDN w:val="0"/>
        <w:ind w:right="-1" w:firstLine="567"/>
        <w:jc w:val="both"/>
        <w:rPr>
          <w:rStyle w:val="Forte"/>
          <w:b w:val="0"/>
          <w:bCs/>
          <w:sz w:val="24"/>
          <w:szCs w:val="24"/>
        </w:rPr>
      </w:pPr>
    </w:p>
    <w:p w14:paraId="121D30F1" w14:textId="103C1C52" w:rsidR="003A11CA" w:rsidRPr="00FC429D" w:rsidRDefault="00837146" w:rsidP="0087475E">
      <w:pPr>
        <w:widowControl w:val="0"/>
        <w:tabs>
          <w:tab w:val="left" w:pos="891"/>
        </w:tabs>
        <w:autoSpaceDE w:val="0"/>
        <w:autoSpaceDN w:val="0"/>
        <w:ind w:right="-1" w:firstLine="567"/>
        <w:jc w:val="both"/>
        <w:rPr>
          <w:rStyle w:val="Forte"/>
          <w:b w:val="0"/>
          <w:bCs/>
          <w:sz w:val="24"/>
          <w:szCs w:val="24"/>
        </w:rPr>
      </w:pPr>
      <w:r w:rsidRPr="00FC429D">
        <w:rPr>
          <w:rStyle w:val="Forte"/>
          <w:b w:val="0"/>
          <w:bCs/>
          <w:sz w:val="24"/>
          <w:szCs w:val="24"/>
        </w:rPr>
        <w:t>Porém, para se chegar a esta conclusão, foi necessário analisar, dentre diversos outros aspectos, que:</w:t>
      </w:r>
    </w:p>
    <w:p w14:paraId="2ADC3B4B" w14:textId="3F6E2EB2" w:rsidR="00837146" w:rsidRPr="00FC429D" w:rsidRDefault="009C6ABE" w:rsidP="00837146">
      <w:pPr>
        <w:pStyle w:val="PargrafodaLista"/>
        <w:widowControl w:val="0"/>
        <w:numPr>
          <w:ilvl w:val="0"/>
          <w:numId w:val="19"/>
        </w:numPr>
        <w:tabs>
          <w:tab w:val="left" w:pos="891"/>
        </w:tabs>
        <w:autoSpaceDE w:val="0"/>
        <w:autoSpaceDN w:val="0"/>
        <w:ind w:right="-1"/>
        <w:jc w:val="both"/>
        <w:rPr>
          <w:rStyle w:val="Forte"/>
          <w:b w:val="0"/>
          <w:bCs/>
          <w:sz w:val="24"/>
          <w:szCs w:val="24"/>
        </w:rPr>
      </w:pPr>
      <w:r w:rsidRPr="00FC429D">
        <w:rPr>
          <w:rStyle w:val="Forte"/>
          <w:b w:val="0"/>
          <w:bCs/>
          <w:sz w:val="24"/>
          <w:szCs w:val="24"/>
        </w:rPr>
        <w:t xml:space="preserve">a tradicional distinção entre software de prateleira (padronizado) e software sob encomenda (personalizado) não </w:t>
      </w:r>
      <w:r w:rsidRPr="00FC429D">
        <w:rPr>
          <w:rStyle w:val="Forte"/>
          <w:b w:val="0"/>
          <w:bCs/>
          <w:sz w:val="24"/>
          <w:szCs w:val="24"/>
        </w:rPr>
        <w:t>era</w:t>
      </w:r>
      <w:r w:rsidRPr="00FC429D">
        <w:rPr>
          <w:rStyle w:val="Forte"/>
          <w:b w:val="0"/>
          <w:bCs/>
          <w:sz w:val="24"/>
          <w:szCs w:val="24"/>
        </w:rPr>
        <w:t xml:space="preserve"> suficiente para definir a </w:t>
      </w:r>
      <w:r w:rsidRPr="00FC429D">
        <w:rPr>
          <w:rStyle w:val="Forte"/>
          <w:b w:val="0"/>
          <w:bCs/>
          <w:sz w:val="24"/>
          <w:szCs w:val="24"/>
        </w:rPr>
        <w:lastRenderedPageBreak/>
        <w:t>competência tributária</w:t>
      </w:r>
      <w:r w:rsidRPr="00FC429D">
        <w:rPr>
          <w:rStyle w:val="Forte"/>
          <w:b w:val="0"/>
          <w:bCs/>
          <w:sz w:val="24"/>
          <w:szCs w:val="24"/>
        </w:rPr>
        <w:t>;</w:t>
      </w:r>
    </w:p>
    <w:p w14:paraId="4AAA7722" w14:textId="4B741682" w:rsidR="009C6ABE" w:rsidRPr="00FC429D" w:rsidRDefault="009C6ABE" w:rsidP="00837146">
      <w:pPr>
        <w:pStyle w:val="PargrafodaLista"/>
        <w:widowControl w:val="0"/>
        <w:numPr>
          <w:ilvl w:val="0"/>
          <w:numId w:val="19"/>
        </w:numPr>
        <w:tabs>
          <w:tab w:val="left" w:pos="891"/>
        </w:tabs>
        <w:autoSpaceDE w:val="0"/>
        <w:autoSpaceDN w:val="0"/>
        <w:ind w:right="-1"/>
        <w:jc w:val="both"/>
        <w:rPr>
          <w:rStyle w:val="Forte"/>
          <w:b w:val="0"/>
          <w:bCs/>
          <w:sz w:val="24"/>
          <w:szCs w:val="24"/>
        </w:rPr>
      </w:pPr>
      <w:r w:rsidRPr="00FC429D">
        <w:rPr>
          <w:rStyle w:val="Forte"/>
          <w:b w:val="0"/>
          <w:bCs/>
          <w:sz w:val="24"/>
          <w:szCs w:val="24"/>
        </w:rPr>
        <w:t xml:space="preserve">a </w:t>
      </w:r>
      <w:r w:rsidRPr="00FC429D">
        <w:rPr>
          <w:rStyle w:val="Forte"/>
          <w:b w:val="0"/>
          <w:bCs/>
          <w:sz w:val="24"/>
          <w:szCs w:val="24"/>
        </w:rPr>
        <w:t>Lei Complementar nº 116/03 estabelece que o licenciamento e a cessão de direito de uso de programas de computação são serviços tributáveis pelo ISS, não pelo ICMS</w:t>
      </w:r>
      <w:r w:rsidRPr="00FC429D">
        <w:rPr>
          <w:rStyle w:val="Forte"/>
          <w:b w:val="0"/>
          <w:bCs/>
          <w:sz w:val="24"/>
          <w:szCs w:val="24"/>
        </w:rPr>
        <w:t>;</w:t>
      </w:r>
    </w:p>
    <w:p w14:paraId="203F744C" w14:textId="5B532F3C" w:rsidR="009C6ABE" w:rsidRPr="00FC429D" w:rsidRDefault="009C6ABE" w:rsidP="00837146">
      <w:pPr>
        <w:pStyle w:val="PargrafodaLista"/>
        <w:widowControl w:val="0"/>
        <w:numPr>
          <w:ilvl w:val="0"/>
          <w:numId w:val="19"/>
        </w:numPr>
        <w:tabs>
          <w:tab w:val="left" w:pos="891"/>
        </w:tabs>
        <w:autoSpaceDE w:val="0"/>
        <w:autoSpaceDN w:val="0"/>
        <w:ind w:right="-1"/>
        <w:jc w:val="both"/>
        <w:rPr>
          <w:rStyle w:val="Forte"/>
          <w:b w:val="0"/>
          <w:bCs/>
          <w:sz w:val="24"/>
          <w:szCs w:val="24"/>
        </w:rPr>
      </w:pPr>
      <w:r w:rsidRPr="00FC429D">
        <w:rPr>
          <w:rStyle w:val="Forte"/>
          <w:b w:val="0"/>
          <w:bCs/>
          <w:sz w:val="24"/>
          <w:szCs w:val="24"/>
        </w:rPr>
        <w:t xml:space="preserve">este raciocínio </w:t>
      </w:r>
      <w:r w:rsidRPr="00FC429D">
        <w:rPr>
          <w:rStyle w:val="Forte"/>
          <w:b w:val="0"/>
          <w:bCs/>
          <w:sz w:val="24"/>
          <w:szCs w:val="24"/>
        </w:rPr>
        <w:t xml:space="preserve">inclui a aquisição de software tanto por meio físico quanto eletrônico (download, </w:t>
      </w:r>
      <w:proofErr w:type="gramStart"/>
      <w:r w:rsidRPr="00FC429D">
        <w:rPr>
          <w:rStyle w:val="Forte"/>
          <w:b w:val="0"/>
          <w:bCs/>
          <w:sz w:val="24"/>
          <w:szCs w:val="24"/>
        </w:rPr>
        <w:t>streaming, etc.</w:t>
      </w:r>
      <w:proofErr w:type="gramEnd"/>
      <w:r w:rsidRPr="00FC429D">
        <w:rPr>
          <w:rStyle w:val="Forte"/>
          <w:b w:val="0"/>
          <w:bCs/>
          <w:sz w:val="24"/>
          <w:szCs w:val="24"/>
        </w:rPr>
        <w:t>)</w:t>
      </w:r>
      <w:r w:rsidRPr="00FC429D">
        <w:rPr>
          <w:rStyle w:val="Forte"/>
          <w:b w:val="0"/>
          <w:bCs/>
          <w:sz w:val="24"/>
          <w:szCs w:val="24"/>
        </w:rPr>
        <w:t>;</w:t>
      </w:r>
    </w:p>
    <w:p w14:paraId="604BD203" w14:textId="62568F9B" w:rsidR="009C6ABE" w:rsidRPr="00FC429D" w:rsidRDefault="009C6ABE" w:rsidP="00837146">
      <w:pPr>
        <w:pStyle w:val="PargrafodaLista"/>
        <w:widowControl w:val="0"/>
        <w:numPr>
          <w:ilvl w:val="0"/>
          <w:numId w:val="19"/>
        </w:numPr>
        <w:tabs>
          <w:tab w:val="left" w:pos="891"/>
        </w:tabs>
        <w:autoSpaceDE w:val="0"/>
        <w:autoSpaceDN w:val="0"/>
        <w:ind w:right="-1"/>
        <w:jc w:val="both"/>
        <w:rPr>
          <w:rStyle w:val="Forte"/>
          <w:b w:val="0"/>
          <w:bCs/>
          <w:sz w:val="24"/>
          <w:szCs w:val="24"/>
        </w:rPr>
      </w:pPr>
      <w:r w:rsidRPr="00FC429D">
        <w:rPr>
          <w:rStyle w:val="Forte"/>
          <w:b w:val="0"/>
          <w:bCs/>
          <w:sz w:val="24"/>
          <w:szCs w:val="24"/>
        </w:rPr>
        <w:t xml:space="preserve">o fato de o software ser regido por </w:t>
      </w:r>
      <w:r w:rsidRPr="00FC429D">
        <w:rPr>
          <w:rStyle w:val="Forte"/>
          <w:b w:val="0"/>
          <w:bCs/>
          <w:sz w:val="24"/>
          <w:szCs w:val="24"/>
        </w:rPr>
        <w:t>contrato de licenciamento de uso de programas de computador é relevante para definir a tributação</w:t>
      </w:r>
      <w:r w:rsidRPr="00FC429D">
        <w:rPr>
          <w:rStyle w:val="Forte"/>
          <w:b w:val="0"/>
          <w:bCs/>
          <w:sz w:val="24"/>
          <w:szCs w:val="24"/>
        </w:rPr>
        <w:t>;</w:t>
      </w:r>
    </w:p>
    <w:p w14:paraId="227AF9C9" w14:textId="22449246" w:rsidR="009C6ABE" w:rsidRPr="00FC429D" w:rsidRDefault="009C6ABE" w:rsidP="00837146">
      <w:pPr>
        <w:pStyle w:val="PargrafodaLista"/>
        <w:widowControl w:val="0"/>
        <w:numPr>
          <w:ilvl w:val="0"/>
          <w:numId w:val="19"/>
        </w:numPr>
        <w:tabs>
          <w:tab w:val="left" w:pos="891"/>
        </w:tabs>
        <w:autoSpaceDE w:val="0"/>
        <w:autoSpaceDN w:val="0"/>
        <w:ind w:right="-1"/>
        <w:jc w:val="both"/>
        <w:rPr>
          <w:rStyle w:val="Forte"/>
          <w:b w:val="0"/>
          <w:bCs/>
          <w:sz w:val="24"/>
          <w:szCs w:val="24"/>
        </w:rPr>
      </w:pPr>
      <w:r w:rsidRPr="00FC429D">
        <w:rPr>
          <w:rStyle w:val="Forte"/>
          <w:b w:val="0"/>
          <w:bCs/>
          <w:sz w:val="24"/>
          <w:szCs w:val="24"/>
        </w:rPr>
        <w:t xml:space="preserve">a </w:t>
      </w:r>
      <w:r w:rsidRPr="00FC429D">
        <w:rPr>
          <w:rStyle w:val="Forte"/>
          <w:b w:val="0"/>
          <w:bCs/>
          <w:sz w:val="24"/>
          <w:szCs w:val="24"/>
        </w:rPr>
        <w:t>criação e o desenvolvimento de software são considerados produtos do engenho humano, e o esforço humano necessário para desenvolver um programa de computador (obrigação de fazer) não pode ser desconsiderado</w:t>
      </w:r>
      <w:r w:rsidRPr="00FC429D">
        <w:rPr>
          <w:rStyle w:val="Forte"/>
          <w:b w:val="0"/>
          <w:bCs/>
          <w:sz w:val="24"/>
          <w:szCs w:val="24"/>
        </w:rPr>
        <w:t>.</w:t>
      </w:r>
    </w:p>
    <w:p w14:paraId="0E0E7AA5" w14:textId="77777777" w:rsidR="003A11CA" w:rsidRPr="0085100E" w:rsidRDefault="003A11CA" w:rsidP="0087475E">
      <w:pPr>
        <w:ind w:right="-1"/>
        <w:rPr>
          <w:color w:val="7030A0"/>
          <w:sz w:val="24"/>
          <w:szCs w:val="24"/>
        </w:rPr>
      </w:pPr>
    </w:p>
    <w:p w14:paraId="05EA9B63" w14:textId="77777777" w:rsidR="00016DD9" w:rsidRPr="0085100E" w:rsidRDefault="00016DD9" w:rsidP="0087475E">
      <w:pPr>
        <w:ind w:right="-1"/>
        <w:rPr>
          <w:color w:val="7030A0"/>
          <w:sz w:val="24"/>
          <w:szCs w:val="24"/>
        </w:rPr>
      </w:pPr>
    </w:p>
    <w:p w14:paraId="71EB6DC3" w14:textId="77777777" w:rsidR="00B50B60" w:rsidRPr="00084DD4" w:rsidRDefault="00B50B60" w:rsidP="0087475E">
      <w:pPr>
        <w:pStyle w:val="PargrafodaLista"/>
        <w:numPr>
          <w:ilvl w:val="0"/>
          <w:numId w:val="4"/>
        </w:numPr>
        <w:ind w:left="1276" w:right="-1" w:hanging="425"/>
        <w:contextualSpacing w:val="0"/>
        <w:rPr>
          <w:b/>
          <w:bCs/>
          <w:sz w:val="24"/>
          <w:szCs w:val="24"/>
        </w:rPr>
      </w:pPr>
      <w:r w:rsidRPr="00084DD4">
        <w:rPr>
          <w:b/>
          <w:bCs/>
          <w:sz w:val="24"/>
          <w:szCs w:val="24"/>
        </w:rPr>
        <w:t>Há risco de o Estado exigir ICMS sobre as duas atividades? Considerar, em sua resposta, o entendimento do STF.</w:t>
      </w:r>
    </w:p>
    <w:p w14:paraId="6FDEC886" w14:textId="77777777" w:rsidR="00B50B60" w:rsidRPr="0085100E" w:rsidRDefault="00B50B60" w:rsidP="0087475E">
      <w:pPr>
        <w:widowControl w:val="0"/>
        <w:tabs>
          <w:tab w:val="left" w:pos="891"/>
        </w:tabs>
        <w:autoSpaceDE w:val="0"/>
        <w:autoSpaceDN w:val="0"/>
        <w:ind w:right="-1"/>
        <w:jc w:val="both"/>
        <w:rPr>
          <w:rStyle w:val="Forte"/>
          <w:color w:val="7030A0"/>
          <w:sz w:val="24"/>
          <w:szCs w:val="24"/>
        </w:rPr>
      </w:pPr>
    </w:p>
    <w:p w14:paraId="08E93ACC" w14:textId="659F304C" w:rsidR="00016DD9" w:rsidRDefault="00084DD4" w:rsidP="0087475E">
      <w:pPr>
        <w:widowControl w:val="0"/>
        <w:tabs>
          <w:tab w:val="left" w:pos="891"/>
        </w:tabs>
        <w:autoSpaceDE w:val="0"/>
        <w:autoSpaceDN w:val="0"/>
        <w:ind w:right="-1" w:firstLine="567"/>
        <w:jc w:val="both"/>
        <w:rPr>
          <w:rStyle w:val="Forte"/>
          <w:b w:val="0"/>
          <w:bCs/>
          <w:sz w:val="24"/>
          <w:szCs w:val="24"/>
        </w:rPr>
      </w:pPr>
      <w:r w:rsidRPr="00084DD4">
        <w:rPr>
          <w:rStyle w:val="Forte"/>
          <w:b w:val="0"/>
          <w:bCs/>
          <w:sz w:val="24"/>
          <w:szCs w:val="24"/>
        </w:rPr>
        <w:t>Não</w:t>
      </w:r>
      <w:r w:rsidR="003A11CA" w:rsidRPr="00084DD4">
        <w:rPr>
          <w:rStyle w:val="Forte"/>
          <w:b w:val="0"/>
          <w:bCs/>
          <w:sz w:val="24"/>
          <w:szCs w:val="24"/>
        </w:rPr>
        <w:t xml:space="preserve">, </w:t>
      </w:r>
      <w:r w:rsidRPr="00084DD4">
        <w:rPr>
          <w:rStyle w:val="Forte"/>
          <w:b w:val="0"/>
          <w:bCs/>
          <w:sz w:val="24"/>
          <w:szCs w:val="24"/>
        </w:rPr>
        <w:t xml:space="preserve">não </w:t>
      </w:r>
      <w:r w:rsidR="003A11CA" w:rsidRPr="00084DD4">
        <w:rPr>
          <w:rStyle w:val="Forte"/>
          <w:b w:val="0"/>
          <w:bCs/>
          <w:sz w:val="24"/>
          <w:szCs w:val="24"/>
        </w:rPr>
        <w:t xml:space="preserve">há risco de o Estado exigir ICMS sobre as duas atividades. </w:t>
      </w:r>
    </w:p>
    <w:p w14:paraId="2000046D" w14:textId="77777777" w:rsidR="00084DD4" w:rsidRDefault="00084DD4" w:rsidP="0087475E">
      <w:pPr>
        <w:widowControl w:val="0"/>
        <w:tabs>
          <w:tab w:val="left" w:pos="891"/>
        </w:tabs>
        <w:autoSpaceDE w:val="0"/>
        <w:autoSpaceDN w:val="0"/>
        <w:ind w:right="-1" w:firstLine="567"/>
        <w:jc w:val="both"/>
        <w:rPr>
          <w:rStyle w:val="Forte"/>
          <w:b w:val="0"/>
          <w:bCs/>
          <w:sz w:val="24"/>
          <w:szCs w:val="24"/>
        </w:rPr>
      </w:pPr>
    </w:p>
    <w:p w14:paraId="667E0A51" w14:textId="6FDCE48E" w:rsidR="00084DD4" w:rsidRDefault="00084DD4" w:rsidP="0087475E">
      <w:pPr>
        <w:widowControl w:val="0"/>
        <w:tabs>
          <w:tab w:val="left" w:pos="891"/>
        </w:tabs>
        <w:autoSpaceDE w:val="0"/>
        <w:autoSpaceDN w:val="0"/>
        <w:ind w:right="-1" w:firstLine="567"/>
        <w:jc w:val="both"/>
        <w:rPr>
          <w:rStyle w:val="Forte"/>
          <w:b w:val="0"/>
          <w:bCs/>
          <w:sz w:val="24"/>
          <w:szCs w:val="24"/>
        </w:rPr>
      </w:pPr>
      <w:r>
        <w:rPr>
          <w:rStyle w:val="Forte"/>
          <w:b w:val="0"/>
          <w:bCs/>
          <w:sz w:val="24"/>
          <w:szCs w:val="24"/>
        </w:rPr>
        <w:t>Conforme já explicitado anteriormente, o licenciamento de software (seja o customizado ou o de prateleira), é considerado um serviço.</w:t>
      </w:r>
    </w:p>
    <w:p w14:paraId="0E6DEE47" w14:textId="77777777" w:rsidR="00084DD4" w:rsidRDefault="00084DD4" w:rsidP="0087475E">
      <w:pPr>
        <w:widowControl w:val="0"/>
        <w:tabs>
          <w:tab w:val="left" w:pos="891"/>
        </w:tabs>
        <w:autoSpaceDE w:val="0"/>
        <w:autoSpaceDN w:val="0"/>
        <w:ind w:right="-1" w:firstLine="567"/>
        <w:jc w:val="both"/>
        <w:rPr>
          <w:rStyle w:val="Forte"/>
          <w:b w:val="0"/>
          <w:bCs/>
          <w:sz w:val="24"/>
          <w:szCs w:val="24"/>
        </w:rPr>
      </w:pPr>
    </w:p>
    <w:p w14:paraId="7AC9277B" w14:textId="07D85731" w:rsidR="00084DD4" w:rsidRDefault="00084DD4" w:rsidP="0087475E">
      <w:pPr>
        <w:widowControl w:val="0"/>
        <w:tabs>
          <w:tab w:val="left" w:pos="891"/>
        </w:tabs>
        <w:autoSpaceDE w:val="0"/>
        <w:autoSpaceDN w:val="0"/>
        <w:ind w:right="-1" w:firstLine="567"/>
        <w:jc w:val="both"/>
        <w:rPr>
          <w:rStyle w:val="Forte"/>
          <w:b w:val="0"/>
          <w:bCs/>
          <w:sz w:val="24"/>
          <w:szCs w:val="24"/>
        </w:rPr>
      </w:pPr>
      <w:r>
        <w:rPr>
          <w:rStyle w:val="Forte"/>
          <w:b w:val="0"/>
          <w:bCs/>
          <w:sz w:val="24"/>
          <w:szCs w:val="24"/>
        </w:rPr>
        <w:t>Porém, para o caso de licenciamento, deveria a empresa considerar o item 1.05 da lista da Lei Complementar, e não o item 1.04:</w:t>
      </w:r>
    </w:p>
    <w:p w14:paraId="7C32D093" w14:textId="77777777" w:rsidR="00084DD4" w:rsidRDefault="00084DD4" w:rsidP="0087475E">
      <w:pPr>
        <w:widowControl w:val="0"/>
        <w:tabs>
          <w:tab w:val="left" w:pos="891"/>
        </w:tabs>
        <w:autoSpaceDE w:val="0"/>
        <w:autoSpaceDN w:val="0"/>
        <w:ind w:right="-1" w:firstLine="567"/>
        <w:jc w:val="both"/>
        <w:rPr>
          <w:rStyle w:val="Forte"/>
          <w:b w:val="0"/>
          <w:bCs/>
          <w:sz w:val="24"/>
          <w:szCs w:val="24"/>
        </w:rPr>
      </w:pPr>
    </w:p>
    <w:p w14:paraId="3C7D5430" w14:textId="77777777" w:rsidR="00084DD4" w:rsidRPr="00454EB9" w:rsidRDefault="00084DD4" w:rsidP="00084DD4">
      <w:pPr>
        <w:pStyle w:val="PargrafodaLista"/>
        <w:numPr>
          <w:ilvl w:val="0"/>
          <w:numId w:val="15"/>
        </w:numPr>
        <w:ind w:right="-1"/>
        <w:jc w:val="both"/>
        <w:rPr>
          <w:rStyle w:val="Forte"/>
          <w:b w:val="0"/>
          <w:bCs/>
          <w:sz w:val="24"/>
          <w:szCs w:val="24"/>
        </w:rPr>
      </w:pPr>
      <w:r w:rsidRPr="00454EB9">
        <w:rPr>
          <w:rStyle w:val="Forte"/>
          <w:b w:val="0"/>
          <w:bCs/>
          <w:sz w:val="24"/>
          <w:szCs w:val="24"/>
        </w:rPr>
        <w:t>Item 1.04: "Elaboração de programas de computadores, inclusive de jogos eletrônicos, independentemente da arquitetura construtiva da máquina em que o programa será executado, incluindo tablets, smartphones e congêneres." (Redação dada pela Lei Complementar nº 157, de 2016)</w:t>
      </w:r>
    </w:p>
    <w:p w14:paraId="2F139652" w14:textId="77777777" w:rsidR="00084DD4" w:rsidRPr="00454EB9" w:rsidRDefault="00084DD4" w:rsidP="00084DD4">
      <w:pPr>
        <w:pStyle w:val="PargrafodaLista"/>
        <w:numPr>
          <w:ilvl w:val="0"/>
          <w:numId w:val="15"/>
        </w:numPr>
        <w:ind w:right="-1"/>
        <w:jc w:val="both"/>
        <w:rPr>
          <w:rStyle w:val="Forte"/>
          <w:b w:val="0"/>
          <w:bCs/>
          <w:sz w:val="24"/>
          <w:szCs w:val="24"/>
        </w:rPr>
      </w:pPr>
      <w:r w:rsidRPr="00454EB9">
        <w:rPr>
          <w:rStyle w:val="Forte"/>
          <w:b w:val="0"/>
          <w:bCs/>
          <w:sz w:val="24"/>
          <w:szCs w:val="24"/>
        </w:rPr>
        <w:t>Item 1.05: "Licenciamento ou cessão de direito de uso de programas de computação."</w:t>
      </w:r>
    </w:p>
    <w:p w14:paraId="5FBEF9AD" w14:textId="77777777" w:rsidR="00084DD4" w:rsidRPr="00084DD4" w:rsidRDefault="00084DD4" w:rsidP="0087475E">
      <w:pPr>
        <w:widowControl w:val="0"/>
        <w:tabs>
          <w:tab w:val="left" w:pos="891"/>
        </w:tabs>
        <w:autoSpaceDE w:val="0"/>
        <w:autoSpaceDN w:val="0"/>
        <w:ind w:right="-1" w:firstLine="567"/>
        <w:jc w:val="both"/>
        <w:rPr>
          <w:rStyle w:val="Forte"/>
          <w:b w:val="0"/>
          <w:bCs/>
          <w:sz w:val="24"/>
          <w:szCs w:val="24"/>
        </w:rPr>
      </w:pPr>
    </w:p>
    <w:p w14:paraId="25B904C2" w14:textId="50401393" w:rsidR="00084DD4" w:rsidRPr="00433A3C" w:rsidRDefault="00084DD4" w:rsidP="00084DD4">
      <w:pPr>
        <w:widowControl w:val="0"/>
        <w:tabs>
          <w:tab w:val="left" w:pos="891"/>
        </w:tabs>
        <w:autoSpaceDE w:val="0"/>
        <w:autoSpaceDN w:val="0"/>
        <w:ind w:right="-1" w:firstLine="567"/>
        <w:jc w:val="both"/>
        <w:rPr>
          <w:rStyle w:val="Forte"/>
          <w:b w:val="0"/>
          <w:bCs/>
          <w:sz w:val="24"/>
          <w:szCs w:val="24"/>
          <w:highlight w:val="yellow"/>
        </w:rPr>
      </w:pPr>
      <w:r w:rsidRPr="00433A3C">
        <w:rPr>
          <w:rStyle w:val="Forte"/>
          <w:b w:val="0"/>
          <w:bCs/>
          <w:sz w:val="24"/>
          <w:szCs w:val="24"/>
          <w:highlight w:val="yellow"/>
        </w:rPr>
        <w:t>Embora o STF tenha adotado o entendimento de tributar com ISS todo o tipo de software, há alguns doutrinadores com posições contrárias. Neste sentido, cita-se, por exemplo:</w:t>
      </w:r>
    </w:p>
    <w:p w14:paraId="20CA1C51" w14:textId="77777777" w:rsidR="00084DD4" w:rsidRPr="00433A3C" w:rsidRDefault="00084DD4" w:rsidP="00084DD4">
      <w:pPr>
        <w:widowControl w:val="0"/>
        <w:tabs>
          <w:tab w:val="left" w:pos="891"/>
        </w:tabs>
        <w:autoSpaceDE w:val="0"/>
        <w:autoSpaceDN w:val="0"/>
        <w:ind w:right="-1" w:firstLine="567"/>
        <w:jc w:val="both"/>
        <w:rPr>
          <w:rStyle w:val="Forte"/>
          <w:b w:val="0"/>
          <w:bCs/>
          <w:sz w:val="24"/>
          <w:szCs w:val="24"/>
          <w:highlight w:val="yellow"/>
        </w:rPr>
      </w:pPr>
    </w:p>
    <w:p w14:paraId="00E43516" w14:textId="40F5B2FC" w:rsidR="00084DD4" w:rsidRPr="00433A3C" w:rsidRDefault="00433A3C" w:rsidP="00084DD4">
      <w:pPr>
        <w:pStyle w:val="PargrafodaLista"/>
        <w:widowControl w:val="0"/>
        <w:numPr>
          <w:ilvl w:val="0"/>
          <w:numId w:val="20"/>
        </w:numPr>
        <w:tabs>
          <w:tab w:val="left" w:pos="891"/>
        </w:tabs>
        <w:autoSpaceDE w:val="0"/>
        <w:autoSpaceDN w:val="0"/>
        <w:ind w:right="-1"/>
        <w:jc w:val="both"/>
        <w:rPr>
          <w:rStyle w:val="Forte"/>
          <w:b w:val="0"/>
          <w:bCs/>
          <w:sz w:val="24"/>
          <w:szCs w:val="24"/>
          <w:highlight w:val="yellow"/>
        </w:rPr>
      </w:pPr>
      <w:proofErr w:type="spellStart"/>
      <w:r w:rsidRPr="00433A3C">
        <w:rPr>
          <w:rStyle w:val="Forte"/>
          <w:b w:val="0"/>
          <w:bCs/>
          <w:sz w:val="24"/>
          <w:szCs w:val="24"/>
          <w:highlight w:val="yellow"/>
        </w:rPr>
        <w:t>xxxxxxxxxxx</w:t>
      </w:r>
      <w:proofErr w:type="spellEnd"/>
    </w:p>
    <w:p w14:paraId="2B676E88" w14:textId="77777777" w:rsidR="003A11CA" w:rsidRPr="0085100E" w:rsidRDefault="003A11CA" w:rsidP="0087475E">
      <w:pPr>
        <w:widowControl w:val="0"/>
        <w:tabs>
          <w:tab w:val="left" w:pos="891"/>
        </w:tabs>
        <w:autoSpaceDE w:val="0"/>
        <w:autoSpaceDN w:val="0"/>
        <w:ind w:right="-1"/>
        <w:jc w:val="both"/>
        <w:rPr>
          <w:rStyle w:val="Forte"/>
          <w:b w:val="0"/>
          <w:bCs/>
          <w:color w:val="7030A0"/>
          <w:sz w:val="24"/>
          <w:szCs w:val="24"/>
        </w:rPr>
      </w:pPr>
    </w:p>
    <w:p w14:paraId="50BFB217" w14:textId="77777777" w:rsidR="00B50B60" w:rsidRPr="006900DB" w:rsidRDefault="00B50B60" w:rsidP="0087475E">
      <w:pPr>
        <w:pStyle w:val="PargrafodaLista"/>
        <w:numPr>
          <w:ilvl w:val="0"/>
          <w:numId w:val="6"/>
        </w:numPr>
        <w:ind w:left="426" w:right="-1" w:hanging="426"/>
        <w:jc w:val="both"/>
        <w:rPr>
          <w:b/>
          <w:bCs/>
          <w:sz w:val="24"/>
          <w:szCs w:val="24"/>
        </w:rPr>
      </w:pPr>
      <w:r w:rsidRPr="006900DB">
        <w:rPr>
          <w:b/>
          <w:bCs/>
          <w:sz w:val="24"/>
          <w:szCs w:val="24"/>
        </w:rPr>
        <w:t xml:space="preserve">No caso da </w:t>
      </w:r>
      <w:r w:rsidRPr="006900DB">
        <w:rPr>
          <w:b/>
          <w:bCs/>
          <w:sz w:val="24"/>
          <w:szCs w:val="24"/>
          <w:u w:val="single"/>
        </w:rPr>
        <w:t>imunidade para as instituições de assistência social sem fins lucrativos</w:t>
      </w:r>
      <w:r w:rsidRPr="006900DB">
        <w:rPr>
          <w:b/>
          <w:bCs/>
          <w:sz w:val="24"/>
          <w:szCs w:val="24"/>
        </w:rPr>
        <w:t xml:space="preserve">, o cumprimento do </w:t>
      </w:r>
      <w:r w:rsidRPr="006900DB">
        <w:rPr>
          <w:b/>
          <w:bCs/>
          <w:sz w:val="24"/>
          <w:szCs w:val="24"/>
          <w:u w:val="single"/>
        </w:rPr>
        <w:t>art. 14 do CTN</w:t>
      </w:r>
      <w:r w:rsidRPr="006900DB">
        <w:rPr>
          <w:b/>
          <w:bCs/>
          <w:sz w:val="24"/>
          <w:szCs w:val="24"/>
        </w:rPr>
        <w:t xml:space="preserve"> é suficiente para garantir sua aplicação ou ainda é necessária a comprovação do caráter assistencial e filantrópico previsto no </w:t>
      </w:r>
      <w:r w:rsidRPr="006900DB">
        <w:rPr>
          <w:b/>
          <w:bCs/>
          <w:sz w:val="24"/>
          <w:szCs w:val="24"/>
          <w:u w:val="single"/>
        </w:rPr>
        <w:t>art. 203 da CF/88</w:t>
      </w:r>
      <w:r w:rsidRPr="006900DB">
        <w:rPr>
          <w:b/>
          <w:bCs/>
          <w:sz w:val="24"/>
          <w:szCs w:val="24"/>
        </w:rPr>
        <w:t xml:space="preserve">? É possível que o artigo 55 da Lei 8.212/91 garanta sua aplicação? Justifique, considerando o que foi decidido nos seguintes julgados: </w:t>
      </w:r>
      <w:hyperlink r:id="rId8" w:history="1">
        <w:r w:rsidRPr="006900DB">
          <w:rPr>
            <w:rStyle w:val="Hyperlink"/>
            <w:b/>
            <w:bCs/>
            <w:color w:val="auto"/>
            <w:sz w:val="24"/>
            <w:szCs w:val="24"/>
          </w:rPr>
          <w:t>ADI-MC 2028</w:t>
        </w:r>
      </w:hyperlink>
      <w:r w:rsidRPr="006900DB">
        <w:rPr>
          <w:b/>
          <w:bCs/>
          <w:sz w:val="24"/>
          <w:szCs w:val="24"/>
        </w:rPr>
        <w:t xml:space="preserve">, </w:t>
      </w:r>
      <w:hyperlink r:id="rId9" w:history="1">
        <w:r w:rsidRPr="006900DB">
          <w:rPr>
            <w:rStyle w:val="Hyperlink"/>
            <w:b/>
            <w:bCs/>
            <w:color w:val="auto"/>
            <w:sz w:val="24"/>
            <w:szCs w:val="24"/>
          </w:rPr>
          <w:t>MI 616</w:t>
        </w:r>
      </w:hyperlink>
      <w:r w:rsidRPr="006900DB">
        <w:rPr>
          <w:b/>
          <w:bCs/>
          <w:sz w:val="24"/>
          <w:szCs w:val="24"/>
        </w:rPr>
        <w:t xml:space="preserve"> e </w:t>
      </w:r>
      <w:hyperlink r:id="rId10" w:history="1">
        <w:r w:rsidRPr="006900DB">
          <w:rPr>
            <w:rStyle w:val="Hyperlink"/>
            <w:b/>
            <w:bCs/>
            <w:color w:val="auto"/>
            <w:sz w:val="24"/>
            <w:szCs w:val="24"/>
          </w:rPr>
          <w:t xml:space="preserve">RE 428815 </w:t>
        </w:r>
        <w:proofErr w:type="spellStart"/>
        <w:r w:rsidRPr="006900DB">
          <w:rPr>
            <w:rStyle w:val="Hyperlink"/>
            <w:b/>
            <w:bCs/>
            <w:color w:val="auto"/>
            <w:sz w:val="24"/>
            <w:szCs w:val="24"/>
          </w:rPr>
          <w:t>AgR</w:t>
        </w:r>
      </w:hyperlink>
      <w:r w:rsidRPr="006900DB">
        <w:rPr>
          <w:b/>
          <w:bCs/>
          <w:sz w:val="24"/>
          <w:szCs w:val="24"/>
        </w:rPr>
        <w:t>.</w:t>
      </w:r>
      <w:proofErr w:type="spellEnd"/>
    </w:p>
    <w:p w14:paraId="06CCE2FF" w14:textId="77777777" w:rsidR="003A11CA" w:rsidRPr="006900DB" w:rsidRDefault="003A11CA" w:rsidP="0087475E">
      <w:pPr>
        <w:ind w:right="-1"/>
        <w:rPr>
          <w:rStyle w:val="Forte"/>
          <w:sz w:val="24"/>
          <w:szCs w:val="24"/>
        </w:rPr>
      </w:pPr>
    </w:p>
    <w:p w14:paraId="01F0C9E6" w14:textId="77777777" w:rsidR="0087475E" w:rsidRPr="006900DB" w:rsidRDefault="0087475E" w:rsidP="0087475E">
      <w:pPr>
        <w:ind w:right="-1" w:firstLine="567"/>
        <w:jc w:val="both"/>
        <w:rPr>
          <w:rStyle w:val="Forte"/>
          <w:b w:val="0"/>
          <w:bCs/>
          <w:sz w:val="24"/>
          <w:szCs w:val="24"/>
        </w:rPr>
      </w:pPr>
      <w:r w:rsidRPr="006900DB">
        <w:rPr>
          <w:rStyle w:val="Forte"/>
          <w:b w:val="0"/>
          <w:bCs/>
          <w:sz w:val="24"/>
          <w:szCs w:val="24"/>
        </w:rPr>
        <w:t xml:space="preserve">A </w:t>
      </w:r>
      <w:r w:rsidRPr="006900DB">
        <w:rPr>
          <w:rStyle w:val="Forte"/>
          <w:sz w:val="24"/>
          <w:szCs w:val="24"/>
          <w:u w:val="single"/>
        </w:rPr>
        <w:t>imunidade tributária</w:t>
      </w:r>
      <w:r w:rsidRPr="006900DB">
        <w:rPr>
          <w:rStyle w:val="Forte"/>
          <w:b w:val="0"/>
          <w:bCs/>
          <w:sz w:val="24"/>
          <w:szCs w:val="24"/>
        </w:rPr>
        <w:t xml:space="preserve"> para instituições de assistência social sem fins lucrativos é uma proteção constitucional destinada a promover o bem-estar social. Esta imunidade está prevista no artigo 150, inciso VI, alínea "c" da Constituição Federal de 1988, e regulamentada pelo artigo 14 do Código Tributário Nacional (CTN).</w:t>
      </w:r>
    </w:p>
    <w:p w14:paraId="72C9C005" w14:textId="77777777" w:rsidR="0087475E" w:rsidRPr="006900DB" w:rsidRDefault="0087475E" w:rsidP="0087475E">
      <w:pPr>
        <w:ind w:right="-1" w:firstLine="567"/>
        <w:rPr>
          <w:rStyle w:val="Forte"/>
          <w:b w:val="0"/>
          <w:bCs/>
          <w:sz w:val="24"/>
          <w:szCs w:val="24"/>
        </w:rPr>
      </w:pPr>
    </w:p>
    <w:p w14:paraId="4D498AD6" w14:textId="1209372F" w:rsidR="0087475E" w:rsidRPr="006900DB" w:rsidRDefault="0087475E" w:rsidP="0087475E">
      <w:pPr>
        <w:ind w:right="-1" w:firstLine="567"/>
        <w:jc w:val="both"/>
        <w:rPr>
          <w:rStyle w:val="Forte"/>
          <w:b w:val="0"/>
          <w:bCs/>
          <w:sz w:val="24"/>
          <w:szCs w:val="24"/>
        </w:rPr>
      </w:pPr>
      <w:r w:rsidRPr="006900DB">
        <w:rPr>
          <w:rStyle w:val="Forte"/>
          <w:b w:val="0"/>
          <w:bCs/>
          <w:sz w:val="24"/>
          <w:szCs w:val="24"/>
        </w:rPr>
        <w:lastRenderedPageBreak/>
        <w:t xml:space="preserve">De acordo com o </w:t>
      </w:r>
      <w:r w:rsidRPr="006900DB">
        <w:rPr>
          <w:rStyle w:val="Forte"/>
          <w:sz w:val="24"/>
          <w:szCs w:val="24"/>
          <w:u w:val="single"/>
        </w:rPr>
        <w:t>art. 14 do CTN</w:t>
      </w:r>
      <w:r w:rsidRPr="006900DB">
        <w:rPr>
          <w:rStyle w:val="Forte"/>
          <w:b w:val="0"/>
          <w:bCs/>
          <w:sz w:val="24"/>
          <w:szCs w:val="24"/>
        </w:rPr>
        <w:t>, para que uma instituição de assistência social sem fins lucrativos goze da imunidade tributária, ela deve cumprir cumulativamente os seguintes requisitos:</w:t>
      </w:r>
    </w:p>
    <w:p w14:paraId="0F8434F8" w14:textId="027C7464" w:rsidR="0087475E" w:rsidRPr="006900DB" w:rsidRDefault="006900DB" w:rsidP="0087475E">
      <w:pPr>
        <w:pStyle w:val="PargrafodaLista"/>
        <w:widowControl w:val="0"/>
        <w:numPr>
          <w:ilvl w:val="0"/>
          <w:numId w:val="16"/>
        </w:numPr>
        <w:tabs>
          <w:tab w:val="left" w:pos="891"/>
        </w:tabs>
        <w:autoSpaceDE w:val="0"/>
        <w:autoSpaceDN w:val="0"/>
        <w:ind w:right="-1"/>
        <w:jc w:val="both"/>
        <w:rPr>
          <w:rStyle w:val="Forte"/>
          <w:b w:val="0"/>
          <w:bCs/>
          <w:sz w:val="24"/>
          <w:szCs w:val="24"/>
        </w:rPr>
      </w:pPr>
      <w:r>
        <w:rPr>
          <w:rStyle w:val="Forte"/>
          <w:b w:val="0"/>
          <w:bCs/>
          <w:sz w:val="24"/>
          <w:szCs w:val="24"/>
        </w:rPr>
        <w:t xml:space="preserve">Inciso I - </w:t>
      </w:r>
      <w:r w:rsidR="0087475E" w:rsidRPr="006900DB">
        <w:rPr>
          <w:rStyle w:val="Forte"/>
          <w:b w:val="0"/>
          <w:bCs/>
          <w:sz w:val="24"/>
          <w:szCs w:val="24"/>
        </w:rPr>
        <w:t>Não distribuir qualquer parcela de seu patrimônio ou de suas rendas, a qualquer título.</w:t>
      </w:r>
    </w:p>
    <w:p w14:paraId="5DF0CFF4" w14:textId="6DE06994" w:rsidR="0087475E" w:rsidRPr="006900DB" w:rsidRDefault="006900DB" w:rsidP="0087475E">
      <w:pPr>
        <w:pStyle w:val="PargrafodaLista"/>
        <w:widowControl w:val="0"/>
        <w:numPr>
          <w:ilvl w:val="0"/>
          <w:numId w:val="16"/>
        </w:numPr>
        <w:tabs>
          <w:tab w:val="left" w:pos="891"/>
        </w:tabs>
        <w:autoSpaceDE w:val="0"/>
        <w:autoSpaceDN w:val="0"/>
        <w:ind w:right="-1"/>
        <w:jc w:val="both"/>
        <w:rPr>
          <w:rStyle w:val="Forte"/>
          <w:b w:val="0"/>
          <w:bCs/>
          <w:sz w:val="24"/>
          <w:szCs w:val="24"/>
        </w:rPr>
      </w:pPr>
      <w:r>
        <w:rPr>
          <w:rStyle w:val="Forte"/>
          <w:b w:val="0"/>
          <w:bCs/>
          <w:sz w:val="24"/>
          <w:szCs w:val="24"/>
        </w:rPr>
        <w:t xml:space="preserve">Inciso II - </w:t>
      </w:r>
      <w:r w:rsidR="0087475E" w:rsidRPr="006900DB">
        <w:rPr>
          <w:rStyle w:val="Forte"/>
          <w:b w:val="0"/>
          <w:bCs/>
          <w:sz w:val="24"/>
          <w:szCs w:val="24"/>
        </w:rPr>
        <w:t>Aplicar integralmente, no país, os seus recursos na manutenção de seus objetivos institucionais.</w:t>
      </w:r>
    </w:p>
    <w:p w14:paraId="3A5F131A" w14:textId="385F93DC" w:rsidR="0087475E" w:rsidRPr="006900DB" w:rsidRDefault="006900DB" w:rsidP="0087475E">
      <w:pPr>
        <w:pStyle w:val="PargrafodaLista"/>
        <w:widowControl w:val="0"/>
        <w:numPr>
          <w:ilvl w:val="0"/>
          <w:numId w:val="16"/>
        </w:numPr>
        <w:tabs>
          <w:tab w:val="left" w:pos="891"/>
        </w:tabs>
        <w:autoSpaceDE w:val="0"/>
        <w:autoSpaceDN w:val="0"/>
        <w:ind w:right="-1"/>
        <w:jc w:val="both"/>
        <w:rPr>
          <w:rStyle w:val="Forte"/>
          <w:b w:val="0"/>
          <w:bCs/>
          <w:sz w:val="24"/>
          <w:szCs w:val="24"/>
        </w:rPr>
      </w:pPr>
      <w:r>
        <w:rPr>
          <w:rStyle w:val="Forte"/>
          <w:b w:val="0"/>
          <w:bCs/>
          <w:sz w:val="24"/>
          <w:szCs w:val="24"/>
        </w:rPr>
        <w:t xml:space="preserve">Inciso III - </w:t>
      </w:r>
      <w:r w:rsidR="0087475E" w:rsidRPr="006900DB">
        <w:rPr>
          <w:rStyle w:val="Forte"/>
          <w:b w:val="0"/>
          <w:bCs/>
          <w:sz w:val="24"/>
          <w:szCs w:val="24"/>
        </w:rPr>
        <w:t>Manter escrituração de suas receitas e despesas em livros revestidos de formalidades capazes de assegurar sua exatidão.</w:t>
      </w:r>
    </w:p>
    <w:p w14:paraId="61B1ECDD" w14:textId="77777777" w:rsidR="0087475E" w:rsidRDefault="0087475E" w:rsidP="0087475E">
      <w:pPr>
        <w:widowControl w:val="0"/>
        <w:tabs>
          <w:tab w:val="left" w:pos="891"/>
        </w:tabs>
        <w:autoSpaceDE w:val="0"/>
        <w:autoSpaceDN w:val="0"/>
        <w:ind w:right="-1" w:firstLine="567"/>
        <w:jc w:val="both"/>
        <w:rPr>
          <w:rStyle w:val="Forte"/>
          <w:b w:val="0"/>
          <w:bCs/>
          <w:sz w:val="24"/>
          <w:szCs w:val="24"/>
        </w:rPr>
      </w:pPr>
    </w:p>
    <w:p w14:paraId="080E73D5" w14:textId="77777777" w:rsidR="006900DB" w:rsidRPr="006900DB" w:rsidRDefault="006900DB" w:rsidP="006900DB">
      <w:pPr>
        <w:widowControl w:val="0"/>
        <w:tabs>
          <w:tab w:val="left" w:pos="891"/>
        </w:tabs>
        <w:autoSpaceDE w:val="0"/>
        <w:autoSpaceDN w:val="0"/>
        <w:ind w:right="-1" w:firstLine="567"/>
        <w:jc w:val="both"/>
        <w:rPr>
          <w:rStyle w:val="Forte"/>
          <w:b w:val="0"/>
          <w:bCs/>
          <w:sz w:val="24"/>
          <w:szCs w:val="24"/>
        </w:rPr>
      </w:pPr>
      <w:r w:rsidRPr="006900DB">
        <w:rPr>
          <w:rStyle w:val="Forte"/>
          <w:b w:val="0"/>
          <w:bCs/>
          <w:sz w:val="24"/>
          <w:szCs w:val="24"/>
        </w:rPr>
        <w:t>O inciso I não proíbe que as entidades tenham superávit, mas apenas que distribuam seus lucros. Além disso, a regra não impede que os diretores das instituições sejam remunerados, desde que trabalhem efetivamente para a pessoa jurídica.</w:t>
      </w:r>
      <w:r>
        <w:rPr>
          <w:rStyle w:val="Forte"/>
          <w:b w:val="0"/>
          <w:bCs/>
          <w:sz w:val="24"/>
          <w:szCs w:val="24"/>
        </w:rPr>
        <w:t xml:space="preserve"> </w:t>
      </w:r>
      <w:r w:rsidRPr="006900DB">
        <w:rPr>
          <w:rStyle w:val="Forte"/>
          <w:b w:val="0"/>
          <w:bCs/>
          <w:sz w:val="24"/>
          <w:szCs w:val="24"/>
        </w:rPr>
        <w:t>O inciso II estabelece que os recursos das entidades devem ser empregados na realização de seus objetivos institucionais e aplicados dentro do país. O inciso III exige o cumprimento das obrigações acessórias, como a escrituração das receitas e despesas em livros contábeis.</w:t>
      </w:r>
    </w:p>
    <w:p w14:paraId="2D7E6363" w14:textId="77777777" w:rsidR="006900DB" w:rsidRPr="006900DB" w:rsidRDefault="006900DB" w:rsidP="006900DB">
      <w:pPr>
        <w:widowControl w:val="0"/>
        <w:tabs>
          <w:tab w:val="left" w:pos="891"/>
        </w:tabs>
        <w:autoSpaceDE w:val="0"/>
        <w:autoSpaceDN w:val="0"/>
        <w:ind w:right="-1" w:firstLine="567"/>
        <w:jc w:val="both"/>
        <w:rPr>
          <w:rStyle w:val="Forte"/>
          <w:b w:val="0"/>
          <w:bCs/>
          <w:sz w:val="24"/>
          <w:szCs w:val="24"/>
        </w:rPr>
      </w:pPr>
    </w:p>
    <w:p w14:paraId="5D80E8F1" w14:textId="32D795DF" w:rsidR="0087475E" w:rsidRPr="006900DB" w:rsidRDefault="0087475E" w:rsidP="00433A3C">
      <w:pPr>
        <w:widowControl w:val="0"/>
        <w:tabs>
          <w:tab w:val="left" w:pos="891"/>
        </w:tabs>
        <w:autoSpaceDE w:val="0"/>
        <w:autoSpaceDN w:val="0"/>
        <w:ind w:right="-1" w:firstLine="567"/>
        <w:jc w:val="both"/>
        <w:rPr>
          <w:rStyle w:val="Forte"/>
          <w:b w:val="0"/>
          <w:bCs/>
          <w:sz w:val="24"/>
          <w:szCs w:val="24"/>
        </w:rPr>
      </w:pPr>
      <w:r w:rsidRPr="006900DB">
        <w:rPr>
          <w:rStyle w:val="Forte"/>
          <w:b w:val="0"/>
          <w:bCs/>
          <w:sz w:val="24"/>
          <w:szCs w:val="24"/>
        </w:rPr>
        <w:t xml:space="preserve">No mais, além do cumprimento do artigo 14 do CTN, a </w:t>
      </w:r>
      <w:r w:rsidRPr="006900DB">
        <w:rPr>
          <w:rStyle w:val="Forte"/>
          <w:sz w:val="24"/>
          <w:szCs w:val="24"/>
          <w:u w:val="single"/>
        </w:rPr>
        <w:t>Constituição Federal em seu artigo 203</w:t>
      </w:r>
      <w:r w:rsidRPr="006900DB">
        <w:rPr>
          <w:rStyle w:val="Forte"/>
          <w:sz w:val="24"/>
          <w:szCs w:val="24"/>
        </w:rPr>
        <w:t xml:space="preserve"> </w:t>
      </w:r>
      <w:r w:rsidRPr="006900DB">
        <w:rPr>
          <w:rStyle w:val="Forte"/>
          <w:b w:val="0"/>
          <w:bCs/>
          <w:sz w:val="24"/>
          <w:szCs w:val="24"/>
        </w:rPr>
        <w:t>estabelece que a assistência social será prestada a quem dela necessitar, independentemente de contribuição à seguridade social</w:t>
      </w:r>
      <w:r w:rsidR="00433A3C" w:rsidRPr="006900DB">
        <w:rPr>
          <w:rStyle w:val="Forte"/>
          <w:b w:val="0"/>
          <w:bCs/>
          <w:sz w:val="24"/>
          <w:szCs w:val="24"/>
        </w:rPr>
        <w:t>.</w:t>
      </w:r>
    </w:p>
    <w:p w14:paraId="056B9465" w14:textId="77777777" w:rsidR="0087475E" w:rsidRPr="006900DB" w:rsidRDefault="0087475E" w:rsidP="0087475E">
      <w:pPr>
        <w:widowControl w:val="0"/>
        <w:tabs>
          <w:tab w:val="left" w:pos="891"/>
        </w:tabs>
        <w:autoSpaceDE w:val="0"/>
        <w:autoSpaceDN w:val="0"/>
        <w:ind w:right="-1" w:firstLine="567"/>
        <w:jc w:val="both"/>
        <w:rPr>
          <w:rStyle w:val="Forte"/>
          <w:b w:val="0"/>
          <w:bCs/>
          <w:sz w:val="24"/>
          <w:szCs w:val="24"/>
        </w:rPr>
      </w:pPr>
    </w:p>
    <w:p w14:paraId="30997508" w14:textId="4E99192A" w:rsidR="0087475E" w:rsidRPr="006900DB" w:rsidRDefault="00433A3C" w:rsidP="0087475E">
      <w:pPr>
        <w:ind w:right="-1" w:firstLine="567"/>
        <w:jc w:val="both"/>
        <w:rPr>
          <w:rStyle w:val="Forte"/>
          <w:b w:val="0"/>
          <w:bCs/>
          <w:sz w:val="24"/>
          <w:szCs w:val="24"/>
        </w:rPr>
      </w:pPr>
      <w:r w:rsidRPr="006900DB">
        <w:rPr>
          <w:rStyle w:val="Forte"/>
          <w:b w:val="0"/>
          <w:bCs/>
          <w:sz w:val="24"/>
          <w:szCs w:val="24"/>
        </w:rPr>
        <w:t>Quanto ao</w:t>
      </w:r>
      <w:r w:rsidR="0087475E" w:rsidRPr="006900DB">
        <w:rPr>
          <w:rStyle w:val="Forte"/>
          <w:b w:val="0"/>
          <w:bCs/>
          <w:sz w:val="24"/>
          <w:szCs w:val="24"/>
        </w:rPr>
        <w:t xml:space="preserve"> </w:t>
      </w:r>
      <w:r w:rsidR="0087475E" w:rsidRPr="006900DB">
        <w:rPr>
          <w:rStyle w:val="Forte"/>
          <w:sz w:val="24"/>
          <w:szCs w:val="24"/>
          <w:u w:val="single"/>
        </w:rPr>
        <w:t>artigo 55 da Lei nº 8.212/91</w:t>
      </w:r>
      <w:r w:rsidR="0087475E" w:rsidRPr="006900DB">
        <w:rPr>
          <w:rStyle w:val="Forte"/>
          <w:b w:val="0"/>
          <w:bCs/>
          <w:sz w:val="24"/>
          <w:szCs w:val="24"/>
        </w:rPr>
        <w:t xml:space="preserve"> </w:t>
      </w:r>
      <w:r w:rsidRPr="006900DB">
        <w:rPr>
          <w:rStyle w:val="Forte"/>
          <w:b w:val="0"/>
          <w:bCs/>
          <w:sz w:val="24"/>
          <w:szCs w:val="24"/>
        </w:rPr>
        <w:t xml:space="preserve">este foi revogado </w:t>
      </w:r>
      <w:r w:rsidRPr="006900DB">
        <w:rPr>
          <w:rStyle w:val="Forte"/>
          <w:b w:val="0"/>
          <w:bCs/>
          <w:sz w:val="24"/>
          <w:szCs w:val="24"/>
        </w:rPr>
        <w:t>pela Lei nº 12.101, de 2009</w:t>
      </w:r>
      <w:r w:rsidRPr="006900DB">
        <w:rPr>
          <w:rStyle w:val="Forte"/>
          <w:b w:val="0"/>
          <w:bCs/>
          <w:sz w:val="24"/>
          <w:szCs w:val="24"/>
        </w:rPr>
        <w:t xml:space="preserve">, mas, antes disso, </w:t>
      </w:r>
      <w:r w:rsidR="0087475E" w:rsidRPr="006900DB">
        <w:rPr>
          <w:rStyle w:val="Forte"/>
          <w:b w:val="0"/>
          <w:bCs/>
          <w:sz w:val="24"/>
          <w:szCs w:val="24"/>
        </w:rPr>
        <w:t>estabelec</w:t>
      </w:r>
      <w:r w:rsidRPr="006900DB">
        <w:rPr>
          <w:rStyle w:val="Forte"/>
          <w:b w:val="0"/>
          <w:bCs/>
          <w:sz w:val="24"/>
          <w:szCs w:val="24"/>
        </w:rPr>
        <w:t>ia</w:t>
      </w:r>
      <w:r w:rsidR="0087475E" w:rsidRPr="006900DB">
        <w:rPr>
          <w:rStyle w:val="Forte"/>
          <w:b w:val="0"/>
          <w:bCs/>
          <w:sz w:val="24"/>
          <w:szCs w:val="24"/>
        </w:rPr>
        <w:t xml:space="preserve"> requisitos adicionais para a concessão de isenção das contribuições sociais, complementando os requisitos do CTN</w:t>
      </w:r>
      <w:r w:rsidRPr="006900DB">
        <w:rPr>
          <w:rStyle w:val="Forte"/>
          <w:b w:val="0"/>
          <w:bCs/>
          <w:sz w:val="24"/>
          <w:szCs w:val="24"/>
        </w:rPr>
        <w:t xml:space="preserve">, </w:t>
      </w:r>
      <w:r w:rsidR="0087475E" w:rsidRPr="006900DB">
        <w:rPr>
          <w:rStyle w:val="Forte"/>
          <w:b w:val="0"/>
          <w:bCs/>
          <w:sz w:val="24"/>
          <w:szCs w:val="24"/>
        </w:rPr>
        <w:t>exig</w:t>
      </w:r>
      <w:r w:rsidRPr="006900DB">
        <w:rPr>
          <w:rStyle w:val="Forte"/>
          <w:b w:val="0"/>
          <w:bCs/>
          <w:sz w:val="24"/>
          <w:szCs w:val="24"/>
        </w:rPr>
        <w:t xml:space="preserve">indo, por exemplo, que a entidade </w:t>
      </w:r>
      <w:r w:rsidRPr="006900DB">
        <w:rPr>
          <w:rStyle w:val="Forte"/>
          <w:b w:val="0"/>
          <w:bCs/>
          <w:sz w:val="24"/>
          <w:szCs w:val="24"/>
        </w:rPr>
        <w:t>apli</w:t>
      </w:r>
      <w:r w:rsidRPr="006900DB">
        <w:rPr>
          <w:rStyle w:val="Forte"/>
          <w:b w:val="0"/>
          <w:bCs/>
          <w:sz w:val="24"/>
          <w:szCs w:val="24"/>
        </w:rPr>
        <w:t>casse</w:t>
      </w:r>
      <w:r w:rsidRPr="006900DB">
        <w:rPr>
          <w:rStyle w:val="Forte"/>
          <w:b w:val="0"/>
          <w:bCs/>
          <w:sz w:val="24"/>
          <w:szCs w:val="24"/>
        </w:rPr>
        <w:t xml:space="preserve"> </w:t>
      </w:r>
      <w:r w:rsidRPr="006900DB">
        <w:rPr>
          <w:rStyle w:val="Forte"/>
          <w:b w:val="0"/>
          <w:bCs/>
          <w:sz w:val="24"/>
          <w:szCs w:val="24"/>
        </w:rPr>
        <w:t>“</w:t>
      </w:r>
      <w:r w:rsidRPr="006900DB">
        <w:rPr>
          <w:rStyle w:val="Forte"/>
          <w:b w:val="0"/>
          <w:bCs/>
          <w:sz w:val="24"/>
          <w:szCs w:val="24"/>
        </w:rPr>
        <w:t>integralmente o eventual resultado operacional na manutenção e desenvolvimento de seus objetivos institucionais apresentando, anualmente ao órgão do INSS competente, relatório circunstanciado de suas atividades</w:t>
      </w:r>
      <w:r w:rsidRPr="006900DB">
        <w:rPr>
          <w:rStyle w:val="Forte"/>
          <w:b w:val="0"/>
          <w:bCs/>
          <w:sz w:val="24"/>
          <w:szCs w:val="24"/>
        </w:rPr>
        <w:t>”; que fosse “</w:t>
      </w:r>
      <w:r w:rsidRPr="006900DB">
        <w:rPr>
          <w:rStyle w:val="Forte"/>
          <w:b w:val="0"/>
          <w:bCs/>
          <w:sz w:val="24"/>
          <w:szCs w:val="24"/>
        </w:rPr>
        <w:t>portadora do Certificado e do Registro de Entidade de Fins Filantrópicos, fornecido pelo Conselho Nacional de Assistência Social, renovado a cada três anos</w:t>
      </w:r>
      <w:r w:rsidRPr="006900DB">
        <w:rPr>
          <w:rStyle w:val="Forte"/>
          <w:b w:val="0"/>
          <w:bCs/>
          <w:sz w:val="24"/>
          <w:szCs w:val="24"/>
        </w:rPr>
        <w:t>”; que fosse “</w:t>
      </w:r>
      <w:r w:rsidRPr="006900DB">
        <w:rPr>
          <w:rStyle w:val="Forte"/>
          <w:b w:val="0"/>
          <w:bCs/>
          <w:sz w:val="24"/>
          <w:szCs w:val="24"/>
        </w:rPr>
        <w:t>reconhecida como de utilidade pública federal e estadual ou do Distrito Federal ou municipal</w:t>
      </w:r>
      <w:r w:rsidRPr="006900DB">
        <w:rPr>
          <w:rStyle w:val="Forte"/>
          <w:b w:val="0"/>
          <w:bCs/>
          <w:sz w:val="24"/>
          <w:szCs w:val="24"/>
        </w:rPr>
        <w:t>”, dentre outros</w:t>
      </w:r>
      <w:r w:rsidR="0087475E" w:rsidRPr="006900DB">
        <w:rPr>
          <w:rStyle w:val="Forte"/>
          <w:b w:val="0"/>
          <w:bCs/>
          <w:sz w:val="24"/>
          <w:szCs w:val="24"/>
        </w:rPr>
        <w:t>.</w:t>
      </w:r>
    </w:p>
    <w:p w14:paraId="1EAF0C7D" w14:textId="0A2B8D60" w:rsidR="0087475E" w:rsidRPr="006900DB" w:rsidRDefault="0087475E" w:rsidP="0087475E">
      <w:pPr>
        <w:widowControl w:val="0"/>
        <w:tabs>
          <w:tab w:val="left" w:pos="891"/>
        </w:tabs>
        <w:autoSpaceDE w:val="0"/>
        <w:autoSpaceDN w:val="0"/>
        <w:ind w:right="-1" w:firstLine="567"/>
        <w:jc w:val="both"/>
        <w:rPr>
          <w:rStyle w:val="Forte"/>
          <w:b w:val="0"/>
          <w:bCs/>
          <w:sz w:val="24"/>
          <w:szCs w:val="24"/>
        </w:rPr>
      </w:pPr>
    </w:p>
    <w:p w14:paraId="48BA7107" w14:textId="54DB94B3" w:rsidR="006900DB" w:rsidRPr="006900DB" w:rsidRDefault="006900DB" w:rsidP="0087475E">
      <w:pPr>
        <w:widowControl w:val="0"/>
        <w:tabs>
          <w:tab w:val="left" w:pos="891"/>
        </w:tabs>
        <w:autoSpaceDE w:val="0"/>
        <w:autoSpaceDN w:val="0"/>
        <w:ind w:right="-1" w:firstLine="567"/>
        <w:jc w:val="both"/>
        <w:rPr>
          <w:rStyle w:val="Forte"/>
          <w:b w:val="0"/>
          <w:bCs/>
          <w:sz w:val="24"/>
          <w:szCs w:val="24"/>
        </w:rPr>
      </w:pPr>
      <w:r w:rsidRPr="006900DB">
        <w:rPr>
          <w:rStyle w:val="Forte"/>
          <w:b w:val="0"/>
          <w:bCs/>
          <w:sz w:val="24"/>
          <w:szCs w:val="24"/>
        </w:rPr>
        <w:t xml:space="preserve">Quanto ao </w:t>
      </w:r>
      <w:r w:rsidRPr="006900DB">
        <w:rPr>
          <w:rStyle w:val="Forte"/>
          <w:b w:val="0"/>
          <w:bCs/>
          <w:sz w:val="24"/>
          <w:szCs w:val="24"/>
        </w:rPr>
        <w:t>certificado de entidade beneficente de assistência social (CEBAS)</w:t>
      </w:r>
      <w:r w:rsidRPr="006900DB">
        <w:rPr>
          <w:rStyle w:val="Forte"/>
          <w:b w:val="0"/>
          <w:bCs/>
          <w:sz w:val="24"/>
          <w:szCs w:val="24"/>
        </w:rPr>
        <w:t xml:space="preserve">, </w:t>
      </w:r>
      <w:r w:rsidRPr="006900DB">
        <w:rPr>
          <w:rStyle w:val="Forte"/>
          <w:b w:val="0"/>
          <w:bCs/>
          <w:sz w:val="24"/>
          <w:szCs w:val="24"/>
        </w:rPr>
        <w:t>há súmula do Superior Tribunal de Justiç</w:t>
      </w:r>
      <w:r w:rsidRPr="006900DB">
        <w:rPr>
          <w:rStyle w:val="Forte"/>
          <w:b w:val="0"/>
          <w:bCs/>
          <w:sz w:val="24"/>
          <w:szCs w:val="24"/>
        </w:rPr>
        <w:t>a:</w:t>
      </w:r>
    </w:p>
    <w:p w14:paraId="08DB5782" w14:textId="77777777" w:rsidR="006900DB" w:rsidRPr="006900DB" w:rsidRDefault="006900DB" w:rsidP="0087475E">
      <w:pPr>
        <w:widowControl w:val="0"/>
        <w:tabs>
          <w:tab w:val="left" w:pos="891"/>
        </w:tabs>
        <w:autoSpaceDE w:val="0"/>
        <w:autoSpaceDN w:val="0"/>
        <w:ind w:right="-1" w:firstLine="567"/>
        <w:jc w:val="both"/>
        <w:rPr>
          <w:rStyle w:val="Forte"/>
          <w:b w:val="0"/>
          <w:bCs/>
          <w:sz w:val="24"/>
          <w:szCs w:val="24"/>
        </w:rPr>
      </w:pPr>
    </w:p>
    <w:p w14:paraId="09B44957" w14:textId="34D2489D" w:rsidR="006900DB" w:rsidRPr="006900DB" w:rsidRDefault="006900DB" w:rsidP="006900DB">
      <w:pPr>
        <w:widowControl w:val="0"/>
        <w:tabs>
          <w:tab w:val="left" w:pos="891"/>
        </w:tabs>
        <w:autoSpaceDE w:val="0"/>
        <w:autoSpaceDN w:val="0"/>
        <w:ind w:left="2268" w:right="-1"/>
        <w:jc w:val="both"/>
        <w:rPr>
          <w:rStyle w:val="Forte"/>
          <w:b w:val="0"/>
          <w:bCs/>
        </w:rPr>
      </w:pPr>
      <w:r w:rsidRPr="006900DB">
        <w:rPr>
          <w:rStyle w:val="Forte"/>
          <w:b w:val="0"/>
          <w:bCs/>
        </w:rPr>
        <w:t>Súmula 612: O certificado de entidade beneficente de assistência social (CEBAS), no</w:t>
      </w:r>
      <w:r w:rsidRPr="006900DB">
        <w:rPr>
          <w:rStyle w:val="Forte"/>
          <w:b w:val="0"/>
          <w:bCs/>
        </w:rPr>
        <w:t xml:space="preserve"> </w:t>
      </w:r>
      <w:r w:rsidRPr="006900DB">
        <w:rPr>
          <w:rStyle w:val="Forte"/>
          <w:b w:val="0"/>
          <w:bCs/>
        </w:rPr>
        <w:t>prazo de sua validade, possui natureza declaratória para fins tributários, retroagindo seus</w:t>
      </w:r>
      <w:r w:rsidRPr="006900DB">
        <w:rPr>
          <w:rStyle w:val="Forte"/>
          <w:b w:val="0"/>
          <w:bCs/>
        </w:rPr>
        <w:t xml:space="preserve"> </w:t>
      </w:r>
      <w:r w:rsidRPr="006900DB">
        <w:rPr>
          <w:rStyle w:val="Forte"/>
          <w:b w:val="0"/>
          <w:bCs/>
        </w:rPr>
        <w:t>efeitos à data em que demonstrado o cumprimento dos requisitos estabelecidos por lei</w:t>
      </w:r>
      <w:r w:rsidRPr="006900DB">
        <w:rPr>
          <w:rStyle w:val="Forte"/>
          <w:b w:val="0"/>
          <w:bCs/>
        </w:rPr>
        <w:t xml:space="preserve"> </w:t>
      </w:r>
      <w:r w:rsidRPr="006900DB">
        <w:rPr>
          <w:rStyle w:val="Forte"/>
          <w:b w:val="0"/>
          <w:bCs/>
        </w:rPr>
        <w:t>complementar para a fruição da imunidade.</w:t>
      </w:r>
    </w:p>
    <w:p w14:paraId="1703E684" w14:textId="77777777" w:rsidR="006900DB" w:rsidRDefault="006900DB" w:rsidP="0087475E">
      <w:pPr>
        <w:widowControl w:val="0"/>
        <w:tabs>
          <w:tab w:val="left" w:pos="891"/>
        </w:tabs>
        <w:autoSpaceDE w:val="0"/>
        <w:autoSpaceDN w:val="0"/>
        <w:ind w:right="-1" w:firstLine="567"/>
        <w:jc w:val="both"/>
        <w:rPr>
          <w:rStyle w:val="Forte"/>
          <w:b w:val="0"/>
          <w:bCs/>
          <w:sz w:val="24"/>
          <w:szCs w:val="24"/>
        </w:rPr>
      </w:pPr>
    </w:p>
    <w:p w14:paraId="2B394174" w14:textId="68D70416" w:rsidR="006900DB" w:rsidRPr="006900DB" w:rsidRDefault="006900DB" w:rsidP="006900DB">
      <w:pPr>
        <w:widowControl w:val="0"/>
        <w:tabs>
          <w:tab w:val="left" w:pos="891"/>
        </w:tabs>
        <w:autoSpaceDE w:val="0"/>
        <w:autoSpaceDN w:val="0"/>
        <w:ind w:right="-1" w:firstLine="567"/>
        <w:jc w:val="both"/>
        <w:rPr>
          <w:rStyle w:val="Forte"/>
          <w:b w:val="0"/>
          <w:bCs/>
          <w:sz w:val="24"/>
          <w:szCs w:val="24"/>
        </w:rPr>
      </w:pPr>
      <w:r>
        <w:rPr>
          <w:rStyle w:val="Forte"/>
          <w:b w:val="0"/>
          <w:bCs/>
          <w:sz w:val="24"/>
          <w:szCs w:val="24"/>
        </w:rPr>
        <w:t xml:space="preserve">A </w:t>
      </w:r>
      <w:r w:rsidRPr="006900DB">
        <w:rPr>
          <w:rStyle w:val="Forte"/>
          <w:b w:val="0"/>
          <w:bCs/>
          <w:sz w:val="24"/>
          <w:szCs w:val="24"/>
        </w:rPr>
        <w:t>Lei Complementar n. 187, de 16 de dezembro de 2021,</w:t>
      </w:r>
      <w:r>
        <w:rPr>
          <w:rStyle w:val="Forte"/>
          <w:b w:val="0"/>
          <w:bCs/>
          <w:sz w:val="24"/>
          <w:szCs w:val="24"/>
        </w:rPr>
        <w:t xml:space="preserve"> </w:t>
      </w:r>
      <w:r w:rsidRPr="006900DB">
        <w:rPr>
          <w:rStyle w:val="Forte"/>
          <w:b w:val="0"/>
          <w:bCs/>
          <w:sz w:val="24"/>
          <w:szCs w:val="24"/>
        </w:rPr>
        <w:t>apresenta os requisitos para a certificação</w:t>
      </w:r>
      <w:r>
        <w:rPr>
          <w:rStyle w:val="Forte"/>
          <w:b w:val="0"/>
          <w:bCs/>
          <w:sz w:val="24"/>
          <w:szCs w:val="24"/>
        </w:rPr>
        <w:t xml:space="preserve"> </w:t>
      </w:r>
      <w:r w:rsidRPr="006900DB">
        <w:rPr>
          <w:rStyle w:val="Forte"/>
          <w:b w:val="0"/>
          <w:bCs/>
          <w:sz w:val="24"/>
          <w:szCs w:val="24"/>
        </w:rPr>
        <w:t>da entidade beneficente.</w:t>
      </w:r>
    </w:p>
    <w:p w14:paraId="0D04F4D2" w14:textId="77777777" w:rsidR="006900DB" w:rsidRPr="006900DB" w:rsidRDefault="006900DB" w:rsidP="0087475E">
      <w:pPr>
        <w:widowControl w:val="0"/>
        <w:tabs>
          <w:tab w:val="left" w:pos="891"/>
        </w:tabs>
        <w:autoSpaceDE w:val="0"/>
        <w:autoSpaceDN w:val="0"/>
        <w:ind w:right="-1" w:firstLine="567"/>
        <w:jc w:val="both"/>
        <w:rPr>
          <w:rStyle w:val="Forte"/>
          <w:b w:val="0"/>
          <w:bCs/>
          <w:sz w:val="24"/>
          <w:szCs w:val="24"/>
        </w:rPr>
      </w:pPr>
    </w:p>
    <w:p w14:paraId="6DE1B250" w14:textId="0D7E1E5A" w:rsidR="0087475E" w:rsidRPr="006900DB" w:rsidRDefault="003A11CA" w:rsidP="0087475E">
      <w:pPr>
        <w:widowControl w:val="0"/>
        <w:tabs>
          <w:tab w:val="left" w:pos="891"/>
        </w:tabs>
        <w:autoSpaceDE w:val="0"/>
        <w:autoSpaceDN w:val="0"/>
        <w:ind w:right="-1" w:firstLine="567"/>
        <w:jc w:val="both"/>
        <w:rPr>
          <w:rStyle w:val="Forte"/>
          <w:sz w:val="24"/>
          <w:szCs w:val="24"/>
        </w:rPr>
      </w:pPr>
      <w:r w:rsidRPr="006900DB">
        <w:rPr>
          <w:rStyle w:val="Forte"/>
          <w:sz w:val="24"/>
          <w:szCs w:val="24"/>
        </w:rPr>
        <w:t xml:space="preserve">Para a aplicação da imunidade tributária prevista no artigo 14 do CTN, é necessário o cumprimento dos requisitos estabelecidos no próprio artigo, além da comprovação do caráter assistencial e filantrópico conforme o artigo 203 da CF/88. </w:t>
      </w:r>
    </w:p>
    <w:p w14:paraId="5DDBE780" w14:textId="77777777" w:rsidR="0087475E" w:rsidRPr="0085100E" w:rsidRDefault="0087475E" w:rsidP="0087475E">
      <w:pPr>
        <w:widowControl w:val="0"/>
        <w:tabs>
          <w:tab w:val="left" w:pos="891"/>
        </w:tabs>
        <w:autoSpaceDE w:val="0"/>
        <w:autoSpaceDN w:val="0"/>
        <w:ind w:right="-1" w:firstLine="567"/>
        <w:jc w:val="both"/>
        <w:rPr>
          <w:rStyle w:val="Forte"/>
          <w:b w:val="0"/>
          <w:bCs/>
          <w:color w:val="7030A0"/>
          <w:sz w:val="24"/>
          <w:szCs w:val="24"/>
        </w:rPr>
      </w:pPr>
    </w:p>
    <w:p w14:paraId="00C615F5" w14:textId="7E5D88E6" w:rsidR="003A11CA" w:rsidRPr="006900DB" w:rsidRDefault="003A11CA" w:rsidP="0087475E">
      <w:pPr>
        <w:widowControl w:val="0"/>
        <w:tabs>
          <w:tab w:val="left" w:pos="891"/>
        </w:tabs>
        <w:autoSpaceDE w:val="0"/>
        <w:autoSpaceDN w:val="0"/>
        <w:ind w:right="-1" w:firstLine="567"/>
        <w:jc w:val="both"/>
        <w:rPr>
          <w:rStyle w:val="Forte"/>
          <w:b w:val="0"/>
          <w:bCs/>
          <w:sz w:val="24"/>
          <w:szCs w:val="24"/>
        </w:rPr>
      </w:pPr>
      <w:r w:rsidRPr="006900DB">
        <w:rPr>
          <w:rStyle w:val="Forte"/>
          <w:b w:val="0"/>
          <w:bCs/>
          <w:sz w:val="24"/>
          <w:szCs w:val="24"/>
        </w:rPr>
        <w:t xml:space="preserve">O artigo 55 da Lei 8.212/91 também </w:t>
      </w:r>
      <w:r w:rsidR="006900DB" w:rsidRPr="006900DB">
        <w:rPr>
          <w:rStyle w:val="Forte"/>
          <w:b w:val="0"/>
          <w:bCs/>
          <w:sz w:val="24"/>
          <w:szCs w:val="24"/>
        </w:rPr>
        <w:t>era</w:t>
      </w:r>
      <w:r w:rsidRPr="006900DB">
        <w:rPr>
          <w:rStyle w:val="Forte"/>
          <w:b w:val="0"/>
          <w:bCs/>
          <w:sz w:val="24"/>
          <w:szCs w:val="24"/>
        </w:rPr>
        <w:t xml:space="preserve"> relevante,</w:t>
      </w:r>
      <w:r w:rsidR="006900DB" w:rsidRPr="006900DB">
        <w:rPr>
          <w:rStyle w:val="Forte"/>
          <w:b w:val="0"/>
          <w:bCs/>
          <w:sz w:val="24"/>
          <w:szCs w:val="24"/>
        </w:rPr>
        <w:t xml:space="preserve"> antes de sua revogação.</w:t>
      </w:r>
    </w:p>
    <w:p w14:paraId="4A450975" w14:textId="77777777" w:rsidR="003A11CA" w:rsidRPr="0085100E" w:rsidRDefault="003A11CA" w:rsidP="0087475E">
      <w:pPr>
        <w:widowControl w:val="0"/>
        <w:tabs>
          <w:tab w:val="left" w:pos="891"/>
        </w:tabs>
        <w:autoSpaceDE w:val="0"/>
        <w:autoSpaceDN w:val="0"/>
        <w:ind w:right="-1" w:firstLine="567"/>
        <w:jc w:val="both"/>
        <w:rPr>
          <w:rStyle w:val="Forte"/>
          <w:b w:val="0"/>
          <w:bCs/>
          <w:color w:val="7030A0"/>
          <w:sz w:val="24"/>
          <w:szCs w:val="24"/>
        </w:rPr>
      </w:pPr>
    </w:p>
    <w:p w14:paraId="061BF6BF" w14:textId="77777777" w:rsidR="0087475E" w:rsidRPr="006900DB" w:rsidRDefault="0087475E" w:rsidP="0087475E">
      <w:pPr>
        <w:ind w:firstLine="567"/>
        <w:jc w:val="both"/>
        <w:rPr>
          <w:rStyle w:val="Forte"/>
          <w:b w:val="0"/>
          <w:bCs/>
          <w:sz w:val="24"/>
          <w:szCs w:val="24"/>
        </w:rPr>
      </w:pPr>
      <w:r w:rsidRPr="006900DB">
        <w:rPr>
          <w:rStyle w:val="Forte"/>
          <w:b w:val="0"/>
          <w:bCs/>
          <w:sz w:val="24"/>
          <w:szCs w:val="24"/>
        </w:rPr>
        <w:t xml:space="preserve">A jurisprudência do Supremo Tribunal Federal (STF) tem reafirmado a necessidade do cumprimento dos requisitos legais para a concessão da imunidade tributária às instituições de assistência social sem fins lucrativos. </w:t>
      </w:r>
    </w:p>
    <w:p w14:paraId="15C3C1E6" w14:textId="77777777" w:rsidR="0087475E" w:rsidRPr="0085100E" w:rsidRDefault="0087475E" w:rsidP="0087475E">
      <w:pPr>
        <w:ind w:firstLine="567"/>
        <w:jc w:val="both"/>
        <w:rPr>
          <w:rStyle w:val="Forte"/>
          <w:b w:val="0"/>
          <w:bCs/>
          <w:color w:val="7030A0"/>
          <w:sz w:val="24"/>
          <w:szCs w:val="24"/>
        </w:rPr>
      </w:pPr>
    </w:p>
    <w:p w14:paraId="708DAA40" w14:textId="497F17F2" w:rsidR="0087475E" w:rsidRPr="006900DB" w:rsidRDefault="0087475E" w:rsidP="0087475E">
      <w:pPr>
        <w:ind w:firstLine="567"/>
        <w:jc w:val="both"/>
        <w:rPr>
          <w:rStyle w:val="Forte"/>
          <w:b w:val="0"/>
          <w:bCs/>
          <w:sz w:val="24"/>
          <w:szCs w:val="24"/>
        </w:rPr>
      </w:pPr>
      <w:r w:rsidRPr="006900DB">
        <w:rPr>
          <w:rStyle w:val="Forte"/>
          <w:b w:val="0"/>
          <w:bCs/>
          <w:sz w:val="24"/>
          <w:szCs w:val="24"/>
        </w:rPr>
        <w:t xml:space="preserve">Nos julgados ADI-MC 2028, MI 616 e RE 428815 </w:t>
      </w:r>
      <w:proofErr w:type="spellStart"/>
      <w:r w:rsidRPr="006900DB">
        <w:rPr>
          <w:rStyle w:val="Forte"/>
          <w:b w:val="0"/>
          <w:bCs/>
          <w:sz w:val="24"/>
          <w:szCs w:val="24"/>
        </w:rPr>
        <w:t>AgR</w:t>
      </w:r>
      <w:proofErr w:type="spellEnd"/>
      <w:r w:rsidRPr="006900DB">
        <w:rPr>
          <w:rStyle w:val="Forte"/>
          <w:b w:val="0"/>
          <w:bCs/>
          <w:sz w:val="24"/>
          <w:szCs w:val="24"/>
        </w:rPr>
        <w:t xml:space="preserve">, o STF tem decidido que </w:t>
      </w:r>
      <w:r w:rsidR="00082D44">
        <w:rPr>
          <w:rStyle w:val="Forte"/>
          <w:b w:val="0"/>
          <w:bCs/>
          <w:sz w:val="24"/>
          <w:szCs w:val="24"/>
        </w:rPr>
        <w:t>se necessita d</w:t>
      </w:r>
      <w:r w:rsidRPr="006900DB">
        <w:rPr>
          <w:rStyle w:val="Forte"/>
          <w:b w:val="0"/>
          <w:bCs/>
          <w:sz w:val="24"/>
          <w:szCs w:val="24"/>
        </w:rPr>
        <w:t xml:space="preserve">a comprovação tanto dos requisitos do artigo 14 do CTN quanto </w:t>
      </w:r>
      <w:r w:rsidR="006900DB">
        <w:rPr>
          <w:rStyle w:val="Forte"/>
          <w:b w:val="0"/>
          <w:bCs/>
          <w:sz w:val="24"/>
          <w:szCs w:val="24"/>
        </w:rPr>
        <w:t>a</w:t>
      </w:r>
      <w:r w:rsidRPr="006900DB">
        <w:rPr>
          <w:rStyle w:val="Forte"/>
          <w:b w:val="0"/>
          <w:bCs/>
          <w:sz w:val="24"/>
          <w:szCs w:val="24"/>
        </w:rPr>
        <w:t>o caráter assistencial e filantrópico</w:t>
      </w:r>
      <w:r w:rsidR="006900DB">
        <w:rPr>
          <w:rStyle w:val="Forte"/>
          <w:b w:val="0"/>
          <w:bCs/>
          <w:sz w:val="24"/>
          <w:szCs w:val="24"/>
        </w:rPr>
        <w:t>,</w:t>
      </w:r>
      <w:r w:rsidRPr="006900DB">
        <w:rPr>
          <w:rStyle w:val="Forte"/>
          <w:b w:val="0"/>
          <w:bCs/>
          <w:sz w:val="24"/>
          <w:szCs w:val="24"/>
        </w:rPr>
        <w:t xml:space="preserve"> conforme o artigo 203 da CF/88.</w:t>
      </w:r>
    </w:p>
    <w:p w14:paraId="190FB2B6" w14:textId="77777777" w:rsidR="003A11CA" w:rsidRPr="0085100E" w:rsidRDefault="003A11CA" w:rsidP="0087475E">
      <w:pPr>
        <w:widowControl w:val="0"/>
        <w:tabs>
          <w:tab w:val="left" w:pos="891"/>
        </w:tabs>
        <w:autoSpaceDE w:val="0"/>
        <w:autoSpaceDN w:val="0"/>
        <w:ind w:right="-1"/>
        <w:jc w:val="both"/>
        <w:rPr>
          <w:rStyle w:val="Forte"/>
          <w:b w:val="0"/>
          <w:bCs/>
          <w:color w:val="7030A0"/>
          <w:sz w:val="24"/>
          <w:szCs w:val="24"/>
        </w:rPr>
      </w:pPr>
    </w:p>
    <w:p w14:paraId="5AE204F3" w14:textId="60D8EAAA" w:rsidR="0087475E" w:rsidRPr="00082D44" w:rsidRDefault="0087475E" w:rsidP="0087475E">
      <w:pPr>
        <w:ind w:firstLine="567"/>
        <w:jc w:val="both"/>
        <w:rPr>
          <w:rStyle w:val="Forte"/>
          <w:b w:val="0"/>
          <w:bCs/>
          <w:sz w:val="24"/>
          <w:szCs w:val="24"/>
        </w:rPr>
      </w:pPr>
      <w:r w:rsidRPr="00082D44">
        <w:rPr>
          <w:rStyle w:val="Forte"/>
          <w:b w:val="0"/>
          <w:bCs/>
          <w:sz w:val="24"/>
          <w:szCs w:val="24"/>
        </w:rPr>
        <w:t xml:space="preserve">Portanto, a imunidade tributária das instituições de assistência social sem fins lucrativos é garantida constitucionalmente, </w:t>
      </w:r>
      <w:r w:rsidRPr="00082D44">
        <w:rPr>
          <w:rStyle w:val="Forte"/>
          <w:b w:val="0"/>
          <w:bCs/>
          <w:sz w:val="24"/>
          <w:szCs w:val="24"/>
          <w:u w:val="single"/>
        </w:rPr>
        <w:t>mas para usufruí-la</w:t>
      </w:r>
      <w:r w:rsidRPr="00082D44">
        <w:rPr>
          <w:rStyle w:val="Forte"/>
          <w:b w:val="0"/>
          <w:bCs/>
          <w:sz w:val="24"/>
          <w:szCs w:val="24"/>
        </w:rPr>
        <w:t xml:space="preserve">, é necessário que a instituição cumpra rigorosamente os </w:t>
      </w:r>
      <w:r w:rsidRPr="00082D44">
        <w:rPr>
          <w:rStyle w:val="Forte"/>
          <w:b w:val="0"/>
          <w:bCs/>
          <w:sz w:val="24"/>
          <w:szCs w:val="24"/>
          <w:u w:val="single"/>
        </w:rPr>
        <w:t>requisitos legais</w:t>
      </w:r>
      <w:r w:rsidRPr="00082D44">
        <w:rPr>
          <w:rStyle w:val="Forte"/>
          <w:b w:val="0"/>
          <w:bCs/>
          <w:sz w:val="24"/>
          <w:szCs w:val="24"/>
        </w:rPr>
        <w:t xml:space="preserve"> estabelecidos </w:t>
      </w:r>
      <w:r w:rsidR="00082D44">
        <w:rPr>
          <w:rStyle w:val="Forte"/>
          <w:b w:val="0"/>
          <w:bCs/>
          <w:sz w:val="24"/>
          <w:szCs w:val="24"/>
        </w:rPr>
        <w:t>na lei</w:t>
      </w:r>
      <w:r w:rsidRPr="00082D44">
        <w:rPr>
          <w:rStyle w:val="Forte"/>
          <w:b w:val="0"/>
          <w:bCs/>
          <w:sz w:val="24"/>
          <w:szCs w:val="24"/>
        </w:rPr>
        <w:t xml:space="preserve">. Além disso, é fundamental que as instituições </w:t>
      </w:r>
      <w:r w:rsidRPr="00082D44">
        <w:rPr>
          <w:rStyle w:val="Forte"/>
          <w:b w:val="0"/>
          <w:bCs/>
          <w:sz w:val="24"/>
          <w:szCs w:val="24"/>
          <w:u w:val="single"/>
        </w:rPr>
        <w:t>comprovem o caráter assistencial e filantrópico</w:t>
      </w:r>
      <w:r w:rsidRPr="00082D44">
        <w:rPr>
          <w:rStyle w:val="Forte"/>
          <w:b w:val="0"/>
          <w:bCs/>
          <w:sz w:val="24"/>
          <w:szCs w:val="24"/>
        </w:rPr>
        <w:t xml:space="preserve"> de suas atividades.</w:t>
      </w:r>
    </w:p>
    <w:p w14:paraId="65200E78" w14:textId="74E7CF19" w:rsidR="00B50B60" w:rsidRPr="0085100E" w:rsidRDefault="00B50B60" w:rsidP="0087475E">
      <w:pPr>
        <w:ind w:right="-1"/>
        <w:rPr>
          <w:rStyle w:val="Forte"/>
          <w:color w:val="7030A0"/>
          <w:sz w:val="24"/>
          <w:szCs w:val="24"/>
        </w:rPr>
      </w:pPr>
    </w:p>
    <w:p w14:paraId="0500DF6D" w14:textId="77777777" w:rsidR="009D00D9" w:rsidRPr="00082D44" w:rsidRDefault="009D00D9" w:rsidP="0087475E">
      <w:pPr>
        <w:ind w:right="-1"/>
        <w:rPr>
          <w:sz w:val="24"/>
          <w:szCs w:val="24"/>
        </w:rPr>
      </w:pPr>
    </w:p>
    <w:p w14:paraId="02056DDE" w14:textId="77777777" w:rsidR="003A11CA" w:rsidRPr="00082D44" w:rsidRDefault="003A11CA" w:rsidP="0087475E">
      <w:pPr>
        <w:ind w:right="-1"/>
        <w:rPr>
          <w:sz w:val="24"/>
          <w:szCs w:val="24"/>
        </w:rPr>
      </w:pPr>
    </w:p>
    <w:p w14:paraId="47DA3AA1" w14:textId="5B4E21A6" w:rsidR="003A11CA" w:rsidRPr="00082D44" w:rsidRDefault="005F4D77" w:rsidP="0087475E">
      <w:pPr>
        <w:widowControl w:val="0"/>
        <w:tabs>
          <w:tab w:val="left" w:pos="891"/>
        </w:tabs>
        <w:autoSpaceDE w:val="0"/>
        <w:autoSpaceDN w:val="0"/>
        <w:ind w:right="-1"/>
        <w:jc w:val="both"/>
        <w:rPr>
          <w:rStyle w:val="Forte"/>
          <w:sz w:val="24"/>
          <w:szCs w:val="24"/>
        </w:rPr>
      </w:pPr>
      <w:r w:rsidRPr="00082D44">
        <w:rPr>
          <w:rStyle w:val="Forte"/>
          <w:sz w:val="24"/>
          <w:szCs w:val="24"/>
        </w:rPr>
        <w:t>REFERÊNCIAS BIBLIOGRÁFICAS:</w:t>
      </w:r>
    </w:p>
    <w:p w14:paraId="75D01227" w14:textId="77777777" w:rsidR="003A11CA" w:rsidRPr="00082D44" w:rsidRDefault="003A11CA" w:rsidP="009B51DD">
      <w:pPr>
        <w:widowControl w:val="0"/>
        <w:tabs>
          <w:tab w:val="left" w:pos="891"/>
        </w:tabs>
        <w:autoSpaceDE w:val="0"/>
        <w:autoSpaceDN w:val="0"/>
        <w:ind w:right="-1"/>
        <w:jc w:val="both"/>
        <w:rPr>
          <w:rStyle w:val="Forte"/>
          <w:b w:val="0"/>
          <w:bCs/>
          <w:sz w:val="24"/>
          <w:szCs w:val="24"/>
        </w:rPr>
      </w:pPr>
    </w:p>
    <w:p w14:paraId="1FB83901" w14:textId="77777777" w:rsidR="009B51DD" w:rsidRPr="00082D44" w:rsidRDefault="009B51DD" w:rsidP="009B51DD">
      <w:pPr>
        <w:widowControl w:val="0"/>
        <w:tabs>
          <w:tab w:val="left" w:pos="891"/>
        </w:tabs>
        <w:autoSpaceDE w:val="0"/>
        <w:autoSpaceDN w:val="0"/>
        <w:ind w:right="-1"/>
        <w:jc w:val="both"/>
        <w:rPr>
          <w:rStyle w:val="Forte"/>
          <w:b w:val="0"/>
          <w:bCs/>
          <w:sz w:val="24"/>
          <w:szCs w:val="24"/>
        </w:rPr>
      </w:pPr>
    </w:p>
    <w:p w14:paraId="7E82A7B9" w14:textId="77777777" w:rsidR="009749D4" w:rsidRPr="00082D44" w:rsidRDefault="009749D4" w:rsidP="009B51DD">
      <w:pPr>
        <w:jc w:val="both"/>
        <w:rPr>
          <w:sz w:val="24"/>
          <w:szCs w:val="24"/>
        </w:rPr>
      </w:pPr>
      <w:r w:rsidRPr="00082D44">
        <w:rPr>
          <w:sz w:val="24"/>
          <w:szCs w:val="24"/>
        </w:rPr>
        <w:t>BRASIL. Constituição (1988). Constituição da República Federativa do Brasil. Brasília, DF: Senado, 1988.</w:t>
      </w:r>
    </w:p>
    <w:p w14:paraId="66AB4869" w14:textId="77777777" w:rsidR="009749D4" w:rsidRPr="00082D44" w:rsidRDefault="009749D4" w:rsidP="009B51DD">
      <w:pPr>
        <w:ind w:right="-1"/>
        <w:jc w:val="both"/>
        <w:rPr>
          <w:sz w:val="24"/>
          <w:szCs w:val="24"/>
        </w:rPr>
      </w:pPr>
    </w:p>
    <w:p w14:paraId="57443C6E" w14:textId="435C7BFE" w:rsidR="005F4D77" w:rsidRPr="00082D44" w:rsidRDefault="009749D4" w:rsidP="009B51DD">
      <w:pPr>
        <w:ind w:right="-1"/>
        <w:jc w:val="both"/>
        <w:rPr>
          <w:sz w:val="24"/>
          <w:szCs w:val="24"/>
        </w:rPr>
      </w:pPr>
      <w:r w:rsidRPr="00082D44">
        <w:rPr>
          <w:sz w:val="24"/>
          <w:szCs w:val="24"/>
        </w:rPr>
        <w:t>_______</w:t>
      </w:r>
      <w:r w:rsidR="005F4D77" w:rsidRPr="00082D44">
        <w:rPr>
          <w:sz w:val="24"/>
          <w:szCs w:val="24"/>
        </w:rPr>
        <w:t>. Lei Complementar nº 116, de 31 de julho de 2003. Dispõe sobre o Imposto Sobre Serviços de Qualquer Natureza, de competência dos Municípios e do Distrito Federal, e dá outras providências. Disponível em: http://www.planalto.gov.br/ccivil_03/leis/LCP/Lcp116.htm. Acesso em: 20 maio 2024.</w:t>
      </w:r>
    </w:p>
    <w:p w14:paraId="6FCF32BB" w14:textId="77777777" w:rsidR="005F4D77" w:rsidRPr="00082D44" w:rsidRDefault="005F4D77" w:rsidP="009B51DD">
      <w:pPr>
        <w:ind w:right="-1"/>
        <w:jc w:val="both"/>
        <w:rPr>
          <w:sz w:val="24"/>
          <w:szCs w:val="24"/>
        </w:rPr>
      </w:pPr>
    </w:p>
    <w:p w14:paraId="71296352" w14:textId="63DB736C" w:rsidR="005F4D77" w:rsidRPr="00082D44" w:rsidRDefault="005F4D77" w:rsidP="009B51DD">
      <w:pPr>
        <w:widowControl w:val="0"/>
        <w:tabs>
          <w:tab w:val="left" w:pos="891"/>
        </w:tabs>
        <w:autoSpaceDE w:val="0"/>
        <w:autoSpaceDN w:val="0"/>
        <w:ind w:right="-1"/>
        <w:jc w:val="both"/>
        <w:rPr>
          <w:sz w:val="24"/>
          <w:szCs w:val="24"/>
        </w:rPr>
      </w:pPr>
      <w:r w:rsidRPr="00082D44">
        <w:rPr>
          <w:rStyle w:val="Forte"/>
          <w:b w:val="0"/>
          <w:bCs/>
          <w:sz w:val="24"/>
          <w:szCs w:val="24"/>
        </w:rPr>
        <w:t>CARVALHO, Paulo de Barros. Curso de Direito Tributário. São Paulo: Saraiva, 2021.</w:t>
      </w:r>
    </w:p>
    <w:p w14:paraId="64B66DAB" w14:textId="77777777" w:rsidR="005F4D77" w:rsidRPr="00082D44" w:rsidRDefault="005F4D77" w:rsidP="0087475E">
      <w:pPr>
        <w:ind w:right="-1"/>
        <w:rPr>
          <w:sz w:val="24"/>
          <w:szCs w:val="24"/>
        </w:rPr>
      </w:pPr>
    </w:p>
    <w:sectPr w:rsidR="005F4D77" w:rsidRPr="00082D44" w:rsidSect="00E74C7D">
      <w:pgSz w:w="11906" w:h="16838"/>
      <w:pgMar w:top="1417" w:right="1701" w:bottom="1417" w:left="1701" w:header="708" w:footer="708" w:gutter="0"/>
      <w:pgBorders w:offsetFrom="page">
        <w:top w:val="apples" w:sz="31" w:space="24" w:color="auto"/>
        <w:left w:val="apples" w:sz="31" w:space="24" w:color="auto"/>
        <w:bottom w:val="apples" w:sz="31" w:space="24" w:color="auto"/>
        <w:right w:val="apples"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FF3D97" w14:textId="77777777" w:rsidR="00A47497" w:rsidRDefault="00A47497" w:rsidP="00B50B60">
      <w:r>
        <w:separator/>
      </w:r>
    </w:p>
  </w:endnote>
  <w:endnote w:type="continuationSeparator" w:id="0">
    <w:p w14:paraId="5C65D788" w14:textId="77777777" w:rsidR="00A47497" w:rsidRDefault="00A47497" w:rsidP="00B50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altName w:val="Univer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ewBaskervilleITCbyBT-Roman">
    <w:altName w:val="Yu Gothic"/>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99B87A" w14:textId="77777777" w:rsidR="00A47497" w:rsidRDefault="00A47497" w:rsidP="00B50B60">
      <w:r>
        <w:separator/>
      </w:r>
    </w:p>
  </w:footnote>
  <w:footnote w:type="continuationSeparator" w:id="0">
    <w:p w14:paraId="7E2C8B4C" w14:textId="77777777" w:rsidR="00A47497" w:rsidRDefault="00A47497" w:rsidP="00B50B60">
      <w:r>
        <w:continuationSeparator/>
      </w:r>
    </w:p>
  </w:footnote>
  <w:footnote w:id="1">
    <w:p w14:paraId="71C36AAB" w14:textId="1185B786" w:rsidR="00301909" w:rsidRDefault="00301909" w:rsidP="00925EFD">
      <w:pPr>
        <w:jc w:val="both"/>
      </w:pPr>
      <w:r>
        <w:rPr>
          <w:rStyle w:val="Refdenotaderodap"/>
        </w:rPr>
        <w:footnoteRef/>
      </w:r>
      <w:r>
        <w:t xml:space="preserve"> </w:t>
      </w:r>
      <w:r w:rsidR="00173710" w:rsidRPr="00173710">
        <w:t>BRASIL. Lei n.º 9.609, de 19 de fevereiro de 1998. Dispõe sobre a proteção da propriedade intelectual de programa de computador, sua comercialização no País, e dá outras providências. Diário Oficial da União: seção 1, Brasília, DF, 20 fev. 1998.</w:t>
      </w:r>
      <w:r w:rsidR="00372420">
        <w:t xml:space="preserve"> Disponível em: &lt;</w:t>
      </w:r>
      <w:r w:rsidR="00372420" w:rsidRPr="00372420">
        <w:t>https://www.planalto.gov.br/ccivil_03/leis/l9609.htm</w:t>
      </w:r>
      <w:r w:rsidR="00372420">
        <w:t>&gt;. Acesso em</w:t>
      </w:r>
      <w:r w:rsidR="003A5B2B">
        <w:t>:</w:t>
      </w:r>
      <w:r w:rsidR="00372420">
        <w:t xml:space="preserve"> </w:t>
      </w:r>
      <w:r w:rsidR="003A5B2B">
        <w:t>24 maio 2024</w:t>
      </w:r>
      <w:r w:rsidR="00372420">
        <w:t>.</w:t>
      </w:r>
    </w:p>
  </w:footnote>
  <w:footnote w:id="2">
    <w:p w14:paraId="25AB2AA3" w14:textId="0499765A" w:rsidR="00301909" w:rsidRDefault="00301909" w:rsidP="00925EFD">
      <w:pPr>
        <w:pStyle w:val="Textodenotaderodap"/>
        <w:jc w:val="both"/>
      </w:pPr>
      <w:r>
        <w:rPr>
          <w:rStyle w:val="Refdenotaderodap"/>
        </w:rPr>
        <w:footnoteRef/>
      </w:r>
      <w:r>
        <w:t xml:space="preserve"> </w:t>
      </w:r>
      <w:r w:rsidR="003A5B2B">
        <w:t xml:space="preserve">CARVALHO, Barros. Tributação de software: decisão do STF. Barros Carvalho, 2023. Disponível em: </w:t>
      </w:r>
      <w:r w:rsidR="003A5B2B">
        <w:t>&lt;</w:t>
      </w:r>
      <w:r w:rsidR="003A5B2B">
        <w:t>https://www.barroscarvalho.com.br/2023/01/01/tributacao-software-stf/</w:t>
      </w:r>
      <w:r w:rsidR="003A5B2B">
        <w:t>&gt;</w:t>
      </w:r>
      <w:r w:rsidR="003A5B2B">
        <w:t>. Acesso em: 24 maio 2024.</w:t>
      </w:r>
    </w:p>
  </w:footnote>
  <w:footnote w:id="3">
    <w:p w14:paraId="789B82FF" w14:textId="71B74BB8" w:rsidR="001E28F9" w:rsidRDefault="001E28F9" w:rsidP="00925EFD">
      <w:pPr>
        <w:pStyle w:val="Textodenotaderodap"/>
        <w:jc w:val="both"/>
      </w:pPr>
      <w:r>
        <w:rPr>
          <w:rStyle w:val="Refdenotaderodap"/>
        </w:rPr>
        <w:footnoteRef/>
      </w:r>
      <w:r>
        <w:t xml:space="preserve"> </w:t>
      </w:r>
      <w:r w:rsidR="007E5B39">
        <w:t>“</w:t>
      </w:r>
      <w:r>
        <w:t>O</w:t>
      </w:r>
      <w:r w:rsidRPr="001E28F9">
        <w:t xml:space="preserve"> STJ firmou o entendimento de que os programas de computador, quando criados e vendidos de forma impessoal, avulsa e aleatória, são tributados por meio de ICMS, ao passo que o desenvolvimento de programas personalizados, com exclusividade, para determinados clientes configura prestação de serviço, sujeit</w:t>
      </w:r>
      <w:r>
        <w:t>ando-se à tributação pelo ISS</w:t>
      </w:r>
      <w:r w:rsidR="007E5B39">
        <w:t>.”</w:t>
      </w:r>
      <w:r>
        <w:t xml:space="preserve"> (</w:t>
      </w:r>
      <w:r w:rsidRPr="001E28F9">
        <w:t>REsp 1.070.404, Rel. Min. Eliana Calmon, j. em 26.08.2008; REsp 814.075, Rel. Min. Luiz Fux, j. em 12.02.2008)</w:t>
      </w:r>
      <w:r>
        <w:t>.</w:t>
      </w:r>
    </w:p>
  </w:footnote>
  <w:footnote w:id="4">
    <w:p w14:paraId="2859B8FD" w14:textId="5B8E1589" w:rsidR="007E5B39" w:rsidRDefault="007E5B39" w:rsidP="00925EFD">
      <w:pPr>
        <w:jc w:val="both"/>
      </w:pPr>
      <w:r>
        <w:rPr>
          <w:rStyle w:val="Refdenotaderodap"/>
        </w:rPr>
        <w:footnoteRef/>
      </w:r>
      <w:r>
        <w:t xml:space="preserve"> “(...) </w:t>
      </w:r>
      <w:r w:rsidRPr="007E5B39">
        <w:t>há prestação de serviç</w:t>
      </w:r>
      <w:r>
        <w:t xml:space="preserve">o no modelo denominado Software </w:t>
      </w:r>
      <w:r w:rsidRPr="007E5B39">
        <w:t>as</w:t>
      </w:r>
      <w:r>
        <w:t xml:space="preserve"> </w:t>
      </w:r>
      <w:r w:rsidRPr="007E5B39">
        <w:t>a</w:t>
      </w:r>
      <w:r>
        <w:t xml:space="preserve"> </w:t>
      </w:r>
      <w:r w:rsidRPr="007E5B39">
        <w:t>Service (SaaS), o qual se caracteriza pelo acesso do consumidor a aplicativos disponibilizados pelo fornecedor na rede mundial de computadores, ou seja, o aplicativo utilizado pelo consumidor não é armazenado no disco rígido do computador do usuário, permanecendo online em tempo integral, daí por que se diz que o aplicativo</w:t>
      </w:r>
      <w:r>
        <w:t xml:space="preserve"> </w:t>
      </w:r>
      <w:r w:rsidRPr="007E5B39">
        <w:t>está localizado na nuvem, circunstância</w:t>
      </w:r>
      <w:r>
        <w:t xml:space="preserve"> atrativa da incidência do ISS. (...)”</w:t>
      </w:r>
      <w:r w:rsidR="00301085">
        <w:t xml:space="preserve"> (</w:t>
      </w:r>
      <w:r w:rsidR="00301085" w:rsidRPr="00301085">
        <w:t xml:space="preserve">ADI 1.945, Rel. Min. </w:t>
      </w:r>
      <w:proofErr w:type="spellStart"/>
      <w:r w:rsidR="00301085" w:rsidRPr="00301085">
        <w:t>Cármen</w:t>
      </w:r>
      <w:proofErr w:type="spellEnd"/>
      <w:r w:rsidR="00301085" w:rsidRPr="00301085">
        <w:t xml:space="preserve"> Lúcia, Redator (a) p/ acórdão Min.</w:t>
      </w:r>
      <w:r w:rsidR="00301085">
        <w:t xml:space="preserve"> Dias Toffoli, j. em 24.02.2021</w:t>
      </w:r>
      <w:r w:rsidR="00301085" w:rsidRPr="00301085">
        <w:t>)</w:t>
      </w:r>
    </w:p>
  </w:footnote>
  <w:footnote w:id="5">
    <w:p w14:paraId="76F1260E" w14:textId="27E5314F" w:rsidR="003E1A32" w:rsidRDefault="003E1A32" w:rsidP="00925EFD">
      <w:pPr>
        <w:pStyle w:val="Textodenotaderodap"/>
        <w:jc w:val="both"/>
      </w:pPr>
      <w:r>
        <w:rPr>
          <w:rStyle w:val="Refdenotaderodap"/>
        </w:rPr>
        <w:footnoteRef/>
      </w:r>
      <w:r>
        <w:t xml:space="preserve"> </w:t>
      </w:r>
      <w:r w:rsidR="00925EFD" w:rsidRPr="00925EFD">
        <w:t xml:space="preserve">BRASIL. Supremo Tribunal Federal. STF determina envio à Justiça Federal em Curitiba de novas denúncias oferecidas contra ex-presidente Lula. Portal STF, 2022. Disponível em: </w:t>
      </w:r>
      <w:r w:rsidR="00925EFD">
        <w:t>&lt;</w:t>
      </w:r>
      <w:r w:rsidR="00925EFD" w:rsidRPr="00925EFD">
        <w:t>https://portal.stf.jus.br/noticias/verNoticiaDetalhe.asp?idConteudo=460772&amp;tip=UN</w:t>
      </w:r>
      <w:r w:rsidR="00925EFD">
        <w:t>&gt;</w:t>
      </w:r>
      <w:r w:rsidR="00925EFD" w:rsidRPr="00925EFD">
        <w:t>. Acesso em: 24 maio 2024.</w:t>
      </w:r>
    </w:p>
  </w:footnote>
  <w:footnote w:id="6">
    <w:p w14:paraId="2ADF87A9" w14:textId="79603AF6" w:rsidR="00301085" w:rsidRDefault="00301085" w:rsidP="00925EFD">
      <w:pPr>
        <w:pStyle w:val="Textodenotaderodap"/>
        <w:jc w:val="both"/>
      </w:pPr>
      <w:r>
        <w:rPr>
          <w:rStyle w:val="Refdenotaderodap"/>
        </w:rPr>
        <w:footnoteRef/>
      </w:r>
      <w:r>
        <w:t xml:space="preserve"> </w:t>
      </w:r>
      <w:r w:rsidR="00287786" w:rsidRPr="00287786">
        <w:t>BRASIL. Supremo Tribunal Federal. ADI 5576 SP, Relator: Roberto Barroso, data de julgamento: 03 ago. 2021. Tribunal Pleno, data de publicação: 10 set.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17D8A"/>
    <w:multiLevelType w:val="hybridMultilevel"/>
    <w:tmpl w:val="F08A60A8"/>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 w15:restartNumberingAfterBreak="0">
    <w:nsid w:val="088335E1"/>
    <w:multiLevelType w:val="hybridMultilevel"/>
    <w:tmpl w:val="5E8ED824"/>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2" w15:restartNumberingAfterBreak="0">
    <w:nsid w:val="08AA1975"/>
    <w:multiLevelType w:val="singleLevel"/>
    <w:tmpl w:val="0416000F"/>
    <w:lvl w:ilvl="0">
      <w:start w:val="1"/>
      <w:numFmt w:val="decimal"/>
      <w:lvlText w:val="%1."/>
      <w:legacy w:legacy="1" w:legacySpace="0" w:legacyIndent="360"/>
      <w:lvlJc w:val="left"/>
      <w:pPr>
        <w:ind w:left="360" w:hanging="360"/>
      </w:pPr>
      <w:rPr>
        <w:rFonts w:cs="Times New Roman"/>
      </w:rPr>
    </w:lvl>
  </w:abstractNum>
  <w:abstractNum w:abstractNumId="3" w15:restartNumberingAfterBreak="0">
    <w:nsid w:val="11CB400C"/>
    <w:multiLevelType w:val="hybridMultilevel"/>
    <w:tmpl w:val="D19A894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D934045"/>
    <w:multiLevelType w:val="hybridMultilevel"/>
    <w:tmpl w:val="B3CAE74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200048B"/>
    <w:multiLevelType w:val="hybridMultilevel"/>
    <w:tmpl w:val="CCBCECB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6" w15:restartNumberingAfterBreak="0">
    <w:nsid w:val="2E6516CC"/>
    <w:multiLevelType w:val="hybridMultilevel"/>
    <w:tmpl w:val="827E7B16"/>
    <w:lvl w:ilvl="0" w:tplc="0416000F">
      <w:start w:val="1"/>
      <w:numFmt w:val="decimal"/>
      <w:lvlText w:val="%1."/>
      <w:lvlJc w:val="left"/>
      <w:pPr>
        <w:ind w:left="1068" w:hanging="360"/>
      </w:p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7" w15:restartNumberingAfterBreak="0">
    <w:nsid w:val="306D00EC"/>
    <w:multiLevelType w:val="hybridMultilevel"/>
    <w:tmpl w:val="C0089FB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498E01C9"/>
    <w:multiLevelType w:val="hybridMultilevel"/>
    <w:tmpl w:val="F0FE08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517B1389"/>
    <w:multiLevelType w:val="hybridMultilevel"/>
    <w:tmpl w:val="2B50FD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52AA1088"/>
    <w:multiLevelType w:val="hybridMultilevel"/>
    <w:tmpl w:val="CF06A8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3AF2F2A"/>
    <w:multiLevelType w:val="hybridMultilevel"/>
    <w:tmpl w:val="B3CAE740"/>
    <w:lvl w:ilvl="0" w:tplc="B3DA4F9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57907EBB"/>
    <w:multiLevelType w:val="hybridMultilevel"/>
    <w:tmpl w:val="A296D9D2"/>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63C24362"/>
    <w:multiLevelType w:val="hybridMultilevel"/>
    <w:tmpl w:val="E76813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CAA0CF7"/>
    <w:multiLevelType w:val="hybridMultilevel"/>
    <w:tmpl w:val="4588F4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42E521E"/>
    <w:multiLevelType w:val="hybridMultilevel"/>
    <w:tmpl w:val="987C7C0E"/>
    <w:lvl w:ilvl="0" w:tplc="7C623E0A">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6" w15:restartNumberingAfterBreak="0">
    <w:nsid w:val="74E30B1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AFD18EF"/>
    <w:multiLevelType w:val="hybridMultilevel"/>
    <w:tmpl w:val="33C8EE1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7CFA59D2"/>
    <w:multiLevelType w:val="hybridMultilevel"/>
    <w:tmpl w:val="38462C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E141F0B"/>
    <w:multiLevelType w:val="hybridMultilevel"/>
    <w:tmpl w:val="23D4F1D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231745512">
    <w:abstractNumId w:val="16"/>
  </w:num>
  <w:num w:numId="2" w16cid:durableId="1615400448">
    <w:abstractNumId w:val="2"/>
  </w:num>
  <w:num w:numId="3" w16cid:durableId="1290548727">
    <w:abstractNumId w:val="12"/>
  </w:num>
  <w:num w:numId="4" w16cid:durableId="1070079998">
    <w:abstractNumId w:val="3"/>
  </w:num>
  <w:num w:numId="5" w16cid:durableId="1093935331">
    <w:abstractNumId w:val="15"/>
  </w:num>
  <w:num w:numId="6" w16cid:durableId="562326690">
    <w:abstractNumId w:val="11"/>
  </w:num>
  <w:num w:numId="7" w16cid:durableId="1181896428">
    <w:abstractNumId w:val="9"/>
  </w:num>
  <w:num w:numId="8" w16cid:durableId="1584148582">
    <w:abstractNumId w:val="17"/>
  </w:num>
  <w:num w:numId="9" w16cid:durableId="400450031">
    <w:abstractNumId w:val="7"/>
  </w:num>
  <w:num w:numId="10" w16cid:durableId="381829445">
    <w:abstractNumId w:val="18"/>
  </w:num>
  <w:num w:numId="11" w16cid:durableId="1286693249">
    <w:abstractNumId w:val="13"/>
  </w:num>
  <w:num w:numId="12" w16cid:durableId="434247697">
    <w:abstractNumId w:val="14"/>
  </w:num>
  <w:num w:numId="13" w16cid:durableId="1244223916">
    <w:abstractNumId w:val="8"/>
  </w:num>
  <w:num w:numId="14" w16cid:durableId="953705826">
    <w:abstractNumId w:val="10"/>
  </w:num>
  <w:num w:numId="15" w16cid:durableId="471561115">
    <w:abstractNumId w:val="0"/>
  </w:num>
  <w:num w:numId="16" w16cid:durableId="610283728">
    <w:abstractNumId w:val="4"/>
  </w:num>
  <w:num w:numId="17" w16cid:durableId="1107115982">
    <w:abstractNumId w:val="5"/>
  </w:num>
  <w:num w:numId="18" w16cid:durableId="532233436">
    <w:abstractNumId w:val="6"/>
  </w:num>
  <w:num w:numId="19" w16cid:durableId="1928926095">
    <w:abstractNumId w:val="1"/>
  </w:num>
  <w:num w:numId="20" w16cid:durableId="3501445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B60"/>
    <w:rsid w:val="000077F0"/>
    <w:rsid w:val="00016DD9"/>
    <w:rsid w:val="00082D44"/>
    <w:rsid w:val="00084DD4"/>
    <w:rsid w:val="000D1F37"/>
    <w:rsid w:val="00173710"/>
    <w:rsid w:val="001A6D30"/>
    <w:rsid w:val="001E28F9"/>
    <w:rsid w:val="00287786"/>
    <w:rsid w:val="00301085"/>
    <w:rsid w:val="00301909"/>
    <w:rsid w:val="00372420"/>
    <w:rsid w:val="003A11CA"/>
    <w:rsid w:val="003A5B2B"/>
    <w:rsid w:val="003E1A32"/>
    <w:rsid w:val="00433A3C"/>
    <w:rsid w:val="00454EB9"/>
    <w:rsid w:val="004874C4"/>
    <w:rsid w:val="00595210"/>
    <w:rsid w:val="005F4D77"/>
    <w:rsid w:val="006732B3"/>
    <w:rsid w:val="006900DB"/>
    <w:rsid w:val="00727ADD"/>
    <w:rsid w:val="007412A1"/>
    <w:rsid w:val="007E5B39"/>
    <w:rsid w:val="00810283"/>
    <w:rsid w:val="00837146"/>
    <w:rsid w:val="0085100E"/>
    <w:rsid w:val="0087475E"/>
    <w:rsid w:val="00881721"/>
    <w:rsid w:val="00925EFD"/>
    <w:rsid w:val="009378FD"/>
    <w:rsid w:val="009465B8"/>
    <w:rsid w:val="009749D4"/>
    <w:rsid w:val="009B51DD"/>
    <w:rsid w:val="009C6ABE"/>
    <w:rsid w:val="009D00D9"/>
    <w:rsid w:val="009F4E5C"/>
    <w:rsid w:val="00A47497"/>
    <w:rsid w:val="00A51F23"/>
    <w:rsid w:val="00A96A1C"/>
    <w:rsid w:val="00AE0D66"/>
    <w:rsid w:val="00AE5F13"/>
    <w:rsid w:val="00B16CA4"/>
    <w:rsid w:val="00B50B60"/>
    <w:rsid w:val="00C521B6"/>
    <w:rsid w:val="00CD365D"/>
    <w:rsid w:val="00D10238"/>
    <w:rsid w:val="00E74C7D"/>
    <w:rsid w:val="00F379C4"/>
    <w:rsid w:val="00FC429D"/>
    <w:rsid w:val="00FD1E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01005"/>
  <w15:chartTrackingRefBased/>
  <w15:docId w15:val="{171CF98B-7481-495E-9AC1-D407785D2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4C4"/>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Ttulo2"/>
    <w:next w:val="Normal"/>
    <w:link w:val="Ttulo1Char"/>
    <w:uiPriority w:val="99"/>
    <w:qFormat/>
    <w:rsid w:val="00B50B60"/>
    <w:pPr>
      <w:jc w:val="center"/>
      <w:outlineLvl w:val="0"/>
    </w:pPr>
    <w:rPr>
      <w:b/>
      <w:bCs/>
      <w:color w:val="auto"/>
    </w:rPr>
  </w:style>
  <w:style w:type="paragraph" w:styleId="Ttulo2">
    <w:name w:val="heading 2"/>
    <w:basedOn w:val="Normal"/>
    <w:next w:val="Normal"/>
    <w:link w:val="Ttulo2Char"/>
    <w:uiPriority w:val="99"/>
    <w:unhideWhenUsed/>
    <w:qFormat/>
    <w:rsid w:val="00B50B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9"/>
    <w:unhideWhenUsed/>
    <w:qFormat/>
    <w:rsid w:val="00B50B6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50B6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B50B6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B50B6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50B6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50B6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50B60"/>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rsid w:val="00B50B60"/>
    <w:rPr>
      <w:rFonts w:asciiTheme="majorHAnsi" w:eastAsiaTheme="majorEastAsia" w:hAnsiTheme="majorHAnsi" w:cstheme="majorBidi"/>
      <w:b/>
      <w:bCs/>
      <w:kern w:val="0"/>
      <w:sz w:val="32"/>
      <w:szCs w:val="32"/>
      <w:lang w:eastAsia="pt-BR"/>
      <w14:ligatures w14:val="none"/>
    </w:rPr>
  </w:style>
  <w:style w:type="character" w:customStyle="1" w:styleId="Ttulo2Char">
    <w:name w:val="Título 2 Char"/>
    <w:basedOn w:val="Fontepargpadro"/>
    <w:link w:val="Ttulo2"/>
    <w:uiPriority w:val="99"/>
    <w:rsid w:val="00B50B60"/>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9"/>
    <w:rsid w:val="00B50B60"/>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B50B60"/>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B50B60"/>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B50B6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50B6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50B6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50B60"/>
    <w:rPr>
      <w:rFonts w:eastAsiaTheme="majorEastAsia" w:cstheme="majorBidi"/>
      <w:color w:val="272727" w:themeColor="text1" w:themeTint="D8"/>
    </w:rPr>
  </w:style>
  <w:style w:type="paragraph" w:styleId="Ttulo">
    <w:name w:val="Title"/>
    <w:basedOn w:val="Normal"/>
    <w:next w:val="Normal"/>
    <w:link w:val="TtuloChar"/>
    <w:uiPriority w:val="10"/>
    <w:qFormat/>
    <w:rsid w:val="00B50B60"/>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50B6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50B6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50B6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50B60"/>
    <w:pPr>
      <w:spacing w:before="160"/>
      <w:jc w:val="center"/>
    </w:pPr>
    <w:rPr>
      <w:i/>
      <w:iCs/>
      <w:color w:val="404040" w:themeColor="text1" w:themeTint="BF"/>
    </w:rPr>
  </w:style>
  <w:style w:type="character" w:customStyle="1" w:styleId="CitaoChar">
    <w:name w:val="Citação Char"/>
    <w:basedOn w:val="Fontepargpadro"/>
    <w:link w:val="Citao"/>
    <w:uiPriority w:val="29"/>
    <w:rsid w:val="00B50B60"/>
    <w:rPr>
      <w:i/>
      <w:iCs/>
      <w:color w:val="404040" w:themeColor="text1" w:themeTint="BF"/>
    </w:rPr>
  </w:style>
  <w:style w:type="paragraph" w:styleId="PargrafodaLista">
    <w:name w:val="List Paragraph"/>
    <w:basedOn w:val="Normal"/>
    <w:uiPriority w:val="34"/>
    <w:qFormat/>
    <w:rsid w:val="00B50B60"/>
    <w:pPr>
      <w:ind w:left="720"/>
      <w:contextualSpacing/>
    </w:pPr>
  </w:style>
  <w:style w:type="character" w:styleId="nfaseIntensa">
    <w:name w:val="Intense Emphasis"/>
    <w:basedOn w:val="Fontepargpadro"/>
    <w:uiPriority w:val="21"/>
    <w:qFormat/>
    <w:rsid w:val="00B50B60"/>
    <w:rPr>
      <w:i/>
      <w:iCs/>
      <w:color w:val="0F4761" w:themeColor="accent1" w:themeShade="BF"/>
    </w:rPr>
  </w:style>
  <w:style w:type="paragraph" w:styleId="CitaoIntensa">
    <w:name w:val="Intense Quote"/>
    <w:basedOn w:val="Normal"/>
    <w:next w:val="Normal"/>
    <w:link w:val="CitaoIntensaChar"/>
    <w:uiPriority w:val="30"/>
    <w:qFormat/>
    <w:rsid w:val="00B50B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50B60"/>
    <w:rPr>
      <w:i/>
      <w:iCs/>
      <w:color w:val="0F4761" w:themeColor="accent1" w:themeShade="BF"/>
    </w:rPr>
  </w:style>
  <w:style w:type="character" w:styleId="RefernciaIntensa">
    <w:name w:val="Intense Reference"/>
    <w:basedOn w:val="Fontepargpadro"/>
    <w:uiPriority w:val="32"/>
    <w:qFormat/>
    <w:rsid w:val="00B50B60"/>
    <w:rPr>
      <w:b/>
      <w:bCs/>
      <w:smallCaps/>
      <w:color w:val="0F4761" w:themeColor="accent1" w:themeShade="BF"/>
      <w:spacing w:val="5"/>
    </w:rPr>
  </w:style>
  <w:style w:type="character" w:styleId="Forte">
    <w:name w:val="Strong"/>
    <w:basedOn w:val="Fontepargpadro"/>
    <w:uiPriority w:val="22"/>
    <w:qFormat/>
    <w:rsid w:val="00B50B60"/>
    <w:rPr>
      <w:rFonts w:cs="Times New Roman"/>
      <w:b/>
    </w:rPr>
  </w:style>
  <w:style w:type="character" w:styleId="Hyperlink">
    <w:name w:val="Hyperlink"/>
    <w:basedOn w:val="Fontepargpadro"/>
    <w:uiPriority w:val="99"/>
    <w:rsid w:val="00B50B60"/>
    <w:rPr>
      <w:rFonts w:cs="Times New Roman"/>
      <w:color w:val="0000FF"/>
      <w:u w:val="single"/>
    </w:rPr>
  </w:style>
  <w:style w:type="character" w:styleId="Refdenotaderodap">
    <w:name w:val="footnote reference"/>
    <w:basedOn w:val="Fontepargpadro"/>
    <w:uiPriority w:val="99"/>
    <w:rsid w:val="00B50B60"/>
    <w:rPr>
      <w:rFonts w:cs="Times New Roman"/>
      <w:vertAlign w:val="superscript"/>
    </w:rPr>
  </w:style>
  <w:style w:type="character" w:styleId="HiperlinkVisitado">
    <w:name w:val="FollowedHyperlink"/>
    <w:basedOn w:val="Fontepargpadro"/>
    <w:uiPriority w:val="99"/>
    <w:semiHidden/>
    <w:unhideWhenUsed/>
    <w:rsid w:val="00B50B60"/>
    <w:rPr>
      <w:color w:val="96607D" w:themeColor="followedHyperlink"/>
      <w:u w:val="single"/>
    </w:rPr>
  </w:style>
  <w:style w:type="paragraph" w:styleId="Textodenotaderodap">
    <w:name w:val="footnote text"/>
    <w:basedOn w:val="Normal"/>
    <w:link w:val="TextodenotaderodapChar"/>
    <w:uiPriority w:val="99"/>
    <w:semiHidden/>
    <w:unhideWhenUsed/>
    <w:rsid w:val="003A11CA"/>
  </w:style>
  <w:style w:type="character" w:customStyle="1" w:styleId="TextodenotaderodapChar">
    <w:name w:val="Texto de nota de rodapé Char"/>
    <w:basedOn w:val="Fontepargpadro"/>
    <w:link w:val="Textodenotaderodap"/>
    <w:uiPriority w:val="99"/>
    <w:semiHidden/>
    <w:rsid w:val="003A11CA"/>
    <w:rPr>
      <w:rFonts w:ascii="Times New Roman" w:eastAsia="Times New Roman" w:hAnsi="Times New Roman" w:cs="Times New Roman"/>
      <w:kern w:val="0"/>
      <w:sz w:val="20"/>
      <w:szCs w:val="20"/>
      <w:lang w:eastAsia="pt-BR"/>
      <w14:ligatures w14:val="none"/>
    </w:rPr>
  </w:style>
  <w:style w:type="character" w:styleId="MenoPendente">
    <w:name w:val="Unresolved Mention"/>
    <w:basedOn w:val="Fontepargpadro"/>
    <w:uiPriority w:val="99"/>
    <w:semiHidden/>
    <w:unhideWhenUsed/>
    <w:rsid w:val="003724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08031">
      <w:bodyDiv w:val="1"/>
      <w:marLeft w:val="0"/>
      <w:marRight w:val="0"/>
      <w:marTop w:val="0"/>
      <w:marBottom w:val="0"/>
      <w:divBdr>
        <w:top w:val="none" w:sz="0" w:space="0" w:color="auto"/>
        <w:left w:val="none" w:sz="0" w:space="0" w:color="auto"/>
        <w:bottom w:val="none" w:sz="0" w:space="0" w:color="auto"/>
        <w:right w:val="none" w:sz="0" w:space="0" w:color="auto"/>
      </w:divBdr>
      <w:divsChild>
        <w:div w:id="467741980">
          <w:marLeft w:val="0"/>
          <w:marRight w:val="0"/>
          <w:marTop w:val="0"/>
          <w:marBottom w:val="0"/>
          <w:divBdr>
            <w:top w:val="single" w:sz="2" w:space="0" w:color="E3E3E3"/>
            <w:left w:val="single" w:sz="2" w:space="0" w:color="E3E3E3"/>
            <w:bottom w:val="single" w:sz="2" w:space="0" w:color="E3E3E3"/>
            <w:right w:val="single" w:sz="2" w:space="0" w:color="E3E3E3"/>
          </w:divBdr>
          <w:divsChild>
            <w:div w:id="408041997">
              <w:marLeft w:val="0"/>
              <w:marRight w:val="0"/>
              <w:marTop w:val="0"/>
              <w:marBottom w:val="0"/>
              <w:divBdr>
                <w:top w:val="single" w:sz="2" w:space="0" w:color="E3E3E3"/>
                <w:left w:val="single" w:sz="2" w:space="0" w:color="E3E3E3"/>
                <w:bottom w:val="single" w:sz="2" w:space="0" w:color="E3E3E3"/>
                <w:right w:val="single" w:sz="2" w:space="0" w:color="E3E3E3"/>
              </w:divBdr>
              <w:divsChild>
                <w:div w:id="221186079">
                  <w:marLeft w:val="0"/>
                  <w:marRight w:val="0"/>
                  <w:marTop w:val="0"/>
                  <w:marBottom w:val="0"/>
                  <w:divBdr>
                    <w:top w:val="single" w:sz="2" w:space="2" w:color="E3E3E3"/>
                    <w:left w:val="single" w:sz="2" w:space="0" w:color="E3E3E3"/>
                    <w:bottom w:val="single" w:sz="2" w:space="0" w:color="E3E3E3"/>
                    <w:right w:val="single" w:sz="2" w:space="0" w:color="E3E3E3"/>
                  </w:divBdr>
                  <w:divsChild>
                    <w:div w:id="67773068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6086164">
      <w:bodyDiv w:val="1"/>
      <w:marLeft w:val="0"/>
      <w:marRight w:val="0"/>
      <w:marTop w:val="0"/>
      <w:marBottom w:val="0"/>
      <w:divBdr>
        <w:top w:val="none" w:sz="0" w:space="0" w:color="auto"/>
        <w:left w:val="none" w:sz="0" w:space="0" w:color="auto"/>
        <w:bottom w:val="none" w:sz="0" w:space="0" w:color="auto"/>
        <w:right w:val="none" w:sz="0" w:space="0" w:color="auto"/>
      </w:divBdr>
    </w:div>
    <w:div w:id="214314361">
      <w:bodyDiv w:val="1"/>
      <w:marLeft w:val="0"/>
      <w:marRight w:val="0"/>
      <w:marTop w:val="0"/>
      <w:marBottom w:val="0"/>
      <w:divBdr>
        <w:top w:val="none" w:sz="0" w:space="0" w:color="auto"/>
        <w:left w:val="none" w:sz="0" w:space="0" w:color="auto"/>
        <w:bottom w:val="none" w:sz="0" w:space="0" w:color="auto"/>
        <w:right w:val="none" w:sz="0" w:space="0" w:color="auto"/>
      </w:divBdr>
    </w:div>
    <w:div w:id="1139153187">
      <w:bodyDiv w:val="1"/>
      <w:marLeft w:val="0"/>
      <w:marRight w:val="0"/>
      <w:marTop w:val="0"/>
      <w:marBottom w:val="0"/>
      <w:divBdr>
        <w:top w:val="none" w:sz="0" w:space="0" w:color="auto"/>
        <w:left w:val="none" w:sz="0" w:space="0" w:color="auto"/>
        <w:bottom w:val="none" w:sz="0" w:space="0" w:color="auto"/>
        <w:right w:val="none" w:sz="0" w:space="0" w:color="auto"/>
      </w:divBdr>
    </w:div>
    <w:div w:id="1701588507">
      <w:bodyDiv w:val="1"/>
      <w:marLeft w:val="0"/>
      <w:marRight w:val="0"/>
      <w:marTop w:val="0"/>
      <w:marBottom w:val="0"/>
      <w:divBdr>
        <w:top w:val="none" w:sz="0" w:space="0" w:color="auto"/>
        <w:left w:val="none" w:sz="0" w:space="0" w:color="auto"/>
        <w:bottom w:val="none" w:sz="0" w:space="0" w:color="auto"/>
        <w:right w:val="none" w:sz="0" w:space="0" w:color="auto"/>
      </w:divBdr>
    </w:div>
    <w:div w:id="1904874702">
      <w:bodyDiv w:val="1"/>
      <w:marLeft w:val="0"/>
      <w:marRight w:val="0"/>
      <w:marTop w:val="0"/>
      <w:marBottom w:val="0"/>
      <w:divBdr>
        <w:top w:val="none" w:sz="0" w:space="0" w:color="auto"/>
        <w:left w:val="none" w:sz="0" w:space="0" w:color="auto"/>
        <w:bottom w:val="none" w:sz="0" w:space="0" w:color="auto"/>
        <w:right w:val="none" w:sz="0" w:space="0" w:color="auto"/>
      </w:divBdr>
    </w:div>
    <w:div w:id="1958368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dir.stf.jus.br/paginadorpub/paginador.jsp?docTP=AC&amp;docID=34715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redir.stf.jus.br/paginadorpub/paginador.jsp?docTP=AC&amp;docID=342625" TargetMode="External"/><Relationship Id="rId4" Type="http://schemas.openxmlformats.org/officeDocument/2006/relationships/settings" Target="settings.xml"/><Relationship Id="rId9" Type="http://schemas.openxmlformats.org/officeDocument/2006/relationships/hyperlink" Target="https://redir.stf.jus.br/paginadorpub/paginador.jsp?docTP=AC&amp;docID=81877"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0EC93C-54D8-4460-BC1C-AF5D25CB9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3893</Words>
  <Characters>21026</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Valera</dc:creator>
  <cp:keywords/>
  <dc:description/>
  <cp:lastModifiedBy>Renata Valera</cp:lastModifiedBy>
  <cp:revision>2</cp:revision>
  <dcterms:created xsi:type="dcterms:W3CDTF">2024-05-25T04:26:00Z</dcterms:created>
  <dcterms:modified xsi:type="dcterms:W3CDTF">2024-05-25T04:26:00Z</dcterms:modified>
</cp:coreProperties>
</file>